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C0527D" w14:paraId="7A618CDE" w14:textId="77777777" w:rsidTr="0093296D">
        <w:trPr>
          <w:trHeight w:val="521"/>
        </w:trPr>
        <w:tc>
          <w:tcPr>
            <w:tcW w:w="4695" w:type="dxa"/>
            <w:vAlign w:val="center"/>
          </w:tcPr>
          <w:p w14:paraId="2BFBF90E" w14:textId="77777777" w:rsidR="00C0527D" w:rsidRDefault="00C0527D" w:rsidP="00C0527D">
            <w:pPr>
              <w:rPr>
                <w:rFonts w:cs="Arial"/>
              </w:rPr>
            </w:pPr>
            <w:r w:rsidRPr="00677D1E">
              <w:rPr>
                <w:rFonts w:cs="Arial"/>
              </w:rPr>
              <w:t>Council Policy No.:</w:t>
            </w:r>
          </w:p>
        </w:tc>
        <w:tc>
          <w:tcPr>
            <w:tcW w:w="4655" w:type="dxa"/>
            <w:vAlign w:val="center"/>
          </w:tcPr>
          <w:p w14:paraId="1B19BB78" w14:textId="308EC7F8" w:rsidR="00C0527D" w:rsidRDefault="00C036E4" w:rsidP="00C0527D">
            <w:pPr>
              <w:rPr>
                <w:rFonts w:cs="Arial"/>
              </w:rPr>
            </w:pPr>
            <w:r>
              <w:rPr>
                <w:rFonts w:cs="Arial"/>
              </w:rPr>
              <w:t xml:space="preserve">CP2021-021 (formerly </w:t>
            </w:r>
            <w:r w:rsidR="00851FD4">
              <w:rPr>
                <w:rFonts w:cs="Arial"/>
              </w:rPr>
              <w:t>CP</w:t>
            </w:r>
            <w:r w:rsidR="00C0527D" w:rsidRPr="008546E8">
              <w:rPr>
                <w:rFonts w:cs="Arial"/>
              </w:rPr>
              <w:t>2016-006</w:t>
            </w:r>
            <w:r>
              <w:rPr>
                <w:rFonts w:cs="Arial"/>
              </w:rPr>
              <w:t>)</w:t>
            </w:r>
          </w:p>
        </w:tc>
      </w:tr>
      <w:tr w:rsidR="00C0527D" w14:paraId="6291EB1E" w14:textId="77777777" w:rsidTr="0093296D">
        <w:trPr>
          <w:trHeight w:val="539"/>
        </w:trPr>
        <w:tc>
          <w:tcPr>
            <w:tcW w:w="4695" w:type="dxa"/>
            <w:vAlign w:val="center"/>
          </w:tcPr>
          <w:p w14:paraId="0B661251" w14:textId="77777777" w:rsidR="00C0527D" w:rsidRDefault="00C0527D" w:rsidP="00C0527D">
            <w:pPr>
              <w:rPr>
                <w:rFonts w:cs="Arial"/>
              </w:rPr>
            </w:pPr>
            <w:r w:rsidRPr="00677D1E">
              <w:rPr>
                <w:rFonts w:cs="Arial"/>
              </w:rPr>
              <w:t>Council Policy Name:</w:t>
            </w:r>
          </w:p>
        </w:tc>
        <w:tc>
          <w:tcPr>
            <w:tcW w:w="4655" w:type="dxa"/>
            <w:vAlign w:val="center"/>
          </w:tcPr>
          <w:p w14:paraId="4D8634D1" w14:textId="0A9518F9" w:rsidR="00C0527D" w:rsidRDefault="00C0527D" w:rsidP="00C0527D">
            <w:pPr>
              <w:rPr>
                <w:rFonts w:cs="Arial"/>
              </w:rPr>
            </w:pPr>
            <w:r w:rsidRPr="008546E8">
              <w:rPr>
                <w:rFonts w:cs="Arial"/>
              </w:rPr>
              <w:t>Non Union Compensation Policy</w:t>
            </w:r>
          </w:p>
        </w:tc>
      </w:tr>
      <w:tr w:rsidR="00C0527D" w14:paraId="42569A58" w14:textId="77777777" w:rsidTr="0093296D">
        <w:trPr>
          <w:trHeight w:val="530"/>
        </w:trPr>
        <w:tc>
          <w:tcPr>
            <w:tcW w:w="4695" w:type="dxa"/>
            <w:vAlign w:val="center"/>
          </w:tcPr>
          <w:p w14:paraId="12F5D26A" w14:textId="77777777" w:rsidR="00C0527D" w:rsidRDefault="00C0527D" w:rsidP="00C0527D">
            <w:pPr>
              <w:rPr>
                <w:rFonts w:cs="Arial"/>
              </w:rPr>
            </w:pPr>
            <w:r w:rsidRPr="00677D1E">
              <w:rPr>
                <w:rFonts w:cs="Arial"/>
              </w:rPr>
              <w:t>Date Approved by Council:</w:t>
            </w:r>
          </w:p>
        </w:tc>
        <w:tc>
          <w:tcPr>
            <w:tcW w:w="4655" w:type="dxa"/>
            <w:vAlign w:val="center"/>
          </w:tcPr>
          <w:p w14:paraId="462FB153" w14:textId="344D5DB6" w:rsidR="00C0527D" w:rsidRDefault="00C0527D" w:rsidP="00C0527D">
            <w:pPr>
              <w:rPr>
                <w:rFonts w:cs="Arial"/>
              </w:rPr>
            </w:pPr>
            <w:r w:rsidRPr="008546E8">
              <w:rPr>
                <w:rFonts w:cs="Arial"/>
              </w:rPr>
              <w:t>May 24, 2016</w:t>
            </w:r>
          </w:p>
        </w:tc>
      </w:tr>
      <w:tr w:rsidR="00C0527D" w14:paraId="59B74F8F" w14:textId="77777777" w:rsidTr="00241662">
        <w:trPr>
          <w:trHeight w:val="530"/>
        </w:trPr>
        <w:tc>
          <w:tcPr>
            <w:tcW w:w="4695" w:type="dxa"/>
            <w:vAlign w:val="center"/>
          </w:tcPr>
          <w:p w14:paraId="0F6C028E" w14:textId="77777777" w:rsidR="00C0527D" w:rsidRDefault="00C0527D" w:rsidP="00C0527D">
            <w:pPr>
              <w:rPr>
                <w:rFonts w:cs="Arial"/>
              </w:rPr>
            </w:pPr>
            <w:r w:rsidRPr="00677D1E">
              <w:rPr>
                <w:rFonts w:cs="Arial"/>
              </w:rPr>
              <w:t>Date revision approved by Council:</w:t>
            </w:r>
          </w:p>
        </w:tc>
        <w:tc>
          <w:tcPr>
            <w:tcW w:w="4655" w:type="dxa"/>
            <w:vAlign w:val="center"/>
          </w:tcPr>
          <w:p w14:paraId="15431558" w14:textId="19B874BE" w:rsidR="00C0527D" w:rsidRDefault="00C036E4" w:rsidP="00C0527D">
            <w:pPr>
              <w:rPr>
                <w:rFonts w:cs="Arial"/>
              </w:rPr>
            </w:pPr>
            <w:r>
              <w:rPr>
                <w:rFonts w:cs="Arial"/>
              </w:rPr>
              <w:t>April 20, 2021</w:t>
            </w:r>
            <w:r>
              <w:rPr>
                <w:rFonts w:cs="Arial"/>
              </w:rPr>
              <w:br/>
              <w:t>CW2021-095/CR2021-195</w:t>
            </w:r>
          </w:p>
        </w:tc>
      </w:tr>
      <w:tr w:rsidR="00C0527D" w14:paraId="1AE59D39" w14:textId="77777777" w:rsidTr="002A1197">
        <w:trPr>
          <w:trHeight w:val="770"/>
        </w:trPr>
        <w:tc>
          <w:tcPr>
            <w:tcW w:w="4695" w:type="dxa"/>
            <w:vAlign w:val="center"/>
          </w:tcPr>
          <w:p w14:paraId="687410E4" w14:textId="77777777" w:rsidR="00C0527D" w:rsidRDefault="00C0527D" w:rsidP="00C0527D">
            <w:pPr>
              <w:rPr>
                <w:rFonts w:cs="Arial"/>
              </w:rPr>
            </w:pPr>
            <w:r w:rsidRPr="00677D1E">
              <w:rPr>
                <w:rFonts w:cs="Arial"/>
              </w:rPr>
              <w:t>Related SOP, Management Directive, Council Policy, Forms</w:t>
            </w:r>
          </w:p>
        </w:tc>
        <w:tc>
          <w:tcPr>
            <w:tcW w:w="4655" w:type="dxa"/>
            <w:vAlign w:val="center"/>
          </w:tcPr>
          <w:p w14:paraId="2F6C4F30" w14:textId="60E69D46" w:rsidR="00C0527D" w:rsidRDefault="00C0527D" w:rsidP="00C0527D">
            <w:pPr>
              <w:spacing w:before="0" w:after="0"/>
              <w:rPr>
                <w:rFonts w:cs="Arial"/>
              </w:rPr>
            </w:pPr>
            <w:r w:rsidRPr="008546E8">
              <w:rPr>
                <w:rFonts w:cs="Arial"/>
              </w:rPr>
              <w:t>MD2016-005 Non Union Compensation Directive</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5379F4CD" w14:textId="77777777" w:rsidR="00C0527D" w:rsidRPr="00C0527D" w:rsidRDefault="00C0527D" w:rsidP="00C0527D">
      <w:pPr>
        <w:overflowPunct w:val="0"/>
        <w:autoSpaceDE w:val="0"/>
        <w:autoSpaceDN w:val="0"/>
        <w:adjustRightInd w:val="0"/>
        <w:textAlignment w:val="baseline"/>
        <w:rPr>
          <w:rFonts w:cs="Arial"/>
        </w:rPr>
      </w:pPr>
      <w:r w:rsidRPr="00C0527D">
        <w:rPr>
          <w:rFonts w:cs="Arial"/>
        </w:rPr>
        <w:t>The City of Kawartha Lakes is committed to providing a work environment where all individuals are treated in a fair and consistent manner. The City will maintain a pay policy that is internally equitable, externally competitive and pay equity compliant. The policy provides for a salary administration program. It is intended to support and acknowledge the dignity and worth of each employee and to support retention of employees through a competitive compensation program.</w:t>
      </w:r>
    </w:p>
    <w:p w14:paraId="2F06FA63" w14:textId="3BF95366" w:rsidR="00B12CB8" w:rsidRPr="006C6658" w:rsidRDefault="0090099E" w:rsidP="002A1197">
      <w:pPr>
        <w:pStyle w:val="Heading1"/>
      </w:pPr>
      <w:r w:rsidRPr="00B12CB8">
        <w:t>Scope:</w:t>
      </w:r>
    </w:p>
    <w:p w14:paraId="433CC7EB" w14:textId="77777777" w:rsidR="00C0527D" w:rsidRPr="00C0527D" w:rsidRDefault="00C0527D" w:rsidP="00C0527D">
      <w:pPr>
        <w:overflowPunct w:val="0"/>
        <w:autoSpaceDE w:val="0"/>
        <w:autoSpaceDN w:val="0"/>
        <w:adjustRightInd w:val="0"/>
        <w:textAlignment w:val="baseline"/>
        <w:rPr>
          <w:rFonts w:cs="Arial"/>
        </w:rPr>
      </w:pPr>
      <w:r w:rsidRPr="00C0527D">
        <w:rPr>
          <w:rFonts w:cs="Arial"/>
        </w:rPr>
        <w:t>This Policy is intended to provide a compensation structure for all Non Union Employees.</w:t>
      </w:r>
    </w:p>
    <w:p w14:paraId="32CBD348" w14:textId="6403DB30"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1372DD8D" w14:textId="758B1414" w:rsidR="00C0527D" w:rsidRPr="00C0527D" w:rsidRDefault="00C0527D" w:rsidP="00330B07">
      <w:pPr>
        <w:pStyle w:val="Heading2"/>
      </w:pPr>
      <w:r w:rsidRPr="00C0527D">
        <w:t>1.</w:t>
      </w:r>
      <w:r w:rsidRPr="00C0527D">
        <w:tab/>
        <w:t>Pay Equity and Job Evaluation</w:t>
      </w:r>
    </w:p>
    <w:p w14:paraId="38AA2F75" w14:textId="77777777" w:rsidR="00C0527D" w:rsidRPr="00C0527D" w:rsidRDefault="00C0527D" w:rsidP="00C0527D">
      <w:pPr>
        <w:spacing w:line="260" w:lineRule="atLeast"/>
        <w:ind w:left="720" w:hanging="720"/>
        <w:rPr>
          <w:rFonts w:cs="Arial"/>
        </w:rPr>
      </w:pPr>
      <w:r w:rsidRPr="00C0527D">
        <w:rPr>
          <w:rFonts w:cs="Arial"/>
        </w:rPr>
        <w:t>1.1</w:t>
      </w:r>
      <w:r w:rsidRPr="00C0527D">
        <w:rPr>
          <w:rFonts w:cs="Arial"/>
        </w:rPr>
        <w:tab/>
        <w:t>The organization shall maintain a job evaluation system that is internal and pay equity compliant.</w:t>
      </w:r>
    </w:p>
    <w:p w14:paraId="73EB6F0C" w14:textId="77777777" w:rsidR="00C0527D" w:rsidRPr="00C0527D" w:rsidRDefault="00C0527D" w:rsidP="00C0527D">
      <w:pPr>
        <w:spacing w:line="260" w:lineRule="atLeast"/>
        <w:ind w:left="720" w:hanging="720"/>
        <w:rPr>
          <w:rFonts w:cs="Arial"/>
        </w:rPr>
      </w:pPr>
      <w:r w:rsidRPr="00C0527D">
        <w:rPr>
          <w:rFonts w:cs="Arial"/>
        </w:rPr>
        <w:lastRenderedPageBreak/>
        <w:t>1.2</w:t>
      </w:r>
      <w:r w:rsidRPr="00C0527D">
        <w:rPr>
          <w:rFonts w:cs="Arial"/>
        </w:rPr>
        <w:tab/>
        <w:t>A re-evaluation process shall be available for all employees to ensure equity is maintained.</w:t>
      </w:r>
    </w:p>
    <w:p w14:paraId="2A100D81" w14:textId="292AFAD5" w:rsidR="00C0527D" w:rsidRPr="00C0527D" w:rsidRDefault="00C0527D" w:rsidP="00330B07">
      <w:pPr>
        <w:pStyle w:val="Heading2"/>
      </w:pPr>
      <w:r w:rsidRPr="00C0527D">
        <w:t>2.</w:t>
      </w:r>
      <w:r w:rsidRPr="00C0527D">
        <w:tab/>
        <w:t>Market Competitiveness</w:t>
      </w:r>
    </w:p>
    <w:p w14:paraId="44E2E84D" w14:textId="77777777" w:rsidR="00C0527D" w:rsidRPr="00C0527D" w:rsidRDefault="00C0527D" w:rsidP="00330B07">
      <w:pPr>
        <w:spacing w:line="260" w:lineRule="atLeast"/>
        <w:ind w:left="720" w:hanging="720"/>
        <w:rPr>
          <w:rFonts w:cs="Arial"/>
        </w:rPr>
      </w:pPr>
      <w:r w:rsidRPr="00C0527D">
        <w:rPr>
          <w:rFonts w:cs="Arial"/>
        </w:rPr>
        <w:t>2.1</w:t>
      </w:r>
      <w:r w:rsidRPr="00C0527D">
        <w:rPr>
          <w:rFonts w:cs="Arial"/>
        </w:rPr>
        <w:tab/>
        <w:t>External competitiveness is set at the 50</w:t>
      </w:r>
      <w:r w:rsidRPr="00C0527D">
        <w:rPr>
          <w:rFonts w:cs="Arial"/>
          <w:vertAlign w:val="superscript"/>
        </w:rPr>
        <w:t>th</w:t>
      </w:r>
      <w:r w:rsidRPr="00C0527D">
        <w:rPr>
          <w:rFonts w:cs="Arial"/>
        </w:rPr>
        <w:t xml:space="preserve"> percentile for the Non Union compensation grid.</w:t>
      </w:r>
    </w:p>
    <w:p w14:paraId="4FF6B507" w14:textId="77777777" w:rsidR="00C0527D" w:rsidRPr="00C0527D" w:rsidRDefault="00C0527D" w:rsidP="00330B07">
      <w:pPr>
        <w:tabs>
          <w:tab w:val="left" w:pos="720"/>
        </w:tabs>
        <w:spacing w:line="260" w:lineRule="atLeast"/>
        <w:ind w:left="720" w:hanging="720"/>
        <w:rPr>
          <w:rFonts w:cs="Arial"/>
        </w:rPr>
      </w:pPr>
      <w:r w:rsidRPr="00C0527D">
        <w:rPr>
          <w:rFonts w:cs="Arial"/>
        </w:rPr>
        <w:t>2.2</w:t>
      </w:r>
      <w:r w:rsidRPr="00C0527D">
        <w:rPr>
          <w:rFonts w:cs="Arial"/>
        </w:rPr>
        <w:tab/>
        <w:t>A comprehensive market review may be undertaken every four (4) years to ensure Council’s pay philosophy is maintained.</w:t>
      </w:r>
    </w:p>
    <w:p w14:paraId="468BAC54" w14:textId="77777777" w:rsidR="00C0527D" w:rsidRPr="00C0527D" w:rsidRDefault="00C0527D" w:rsidP="00330B07">
      <w:pPr>
        <w:tabs>
          <w:tab w:val="left" w:pos="720"/>
        </w:tabs>
        <w:spacing w:line="260" w:lineRule="atLeast"/>
        <w:ind w:left="720" w:hanging="720"/>
        <w:rPr>
          <w:rFonts w:cs="Arial"/>
        </w:rPr>
      </w:pPr>
      <w:r w:rsidRPr="00C0527D">
        <w:rPr>
          <w:rFonts w:cs="Arial"/>
        </w:rPr>
        <w:t>2.3</w:t>
      </w:r>
      <w:r w:rsidRPr="00C0527D">
        <w:rPr>
          <w:rFonts w:cs="Arial"/>
        </w:rPr>
        <w:tab/>
        <w:t>The comparator organizations for the purposes of evaluating market competitiveness are:</w:t>
      </w:r>
    </w:p>
    <w:tbl>
      <w:tblPr>
        <w:tblW w:w="7395" w:type="dxa"/>
        <w:tblInd w:w="93" w:type="dxa"/>
        <w:tblLook w:val="04A0" w:firstRow="1" w:lastRow="0" w:firstColumn="1" w:lastColumn="0" w:noHBand="0" w:noVBand="1"/>
      </w:tblPr>
      <w:tblGrid>
        <w:gridCol w:w="3705"/>
        <w:gridCol w:w="3690"/>
      </w:tblGrid>
      <w:tr w:rsidR="00C0527D" w:rsidRPr="00C0527D" w14:paraId="391EBDF9" w14:textId="77777777" w:rsidTr="00962D9D">
        <w:trPr>
          <w:trHeight w:val="300"/>
        </w:trPr>
        <w:tc>
          <w:tcPr>
            <w:tcW w:w="3705" w:type="dxa"/>
            <w:tcBorders>
              <w:top w:val="single" w:sz="4" w:space="0" w:color="FFFFFF"/>
              <w:left w:val="single" w:sz="4" w:space="0" w:color="FFFFFF"/>
              <w:bottom w:val="single" w:sz="4" w:space="0" w:color="FFFFFF"/>
              <w:right w:val="single" w:sz="4" w:space="0" w:color="FFFFFF"/>
            </w:tcBorders>
            <w:noWrap/>
            <w:vAlign w:val="center"/>
            <w:hideMark/>
          </w:tcPr>
          <w:p w14:paraId="775EE3BC" w14:textId="77777777" w:rsidR="00C0527D" w:rsidRPr="00C0527D" w:rsidRDefault="00C0527D" w:rsidP="00C0527D">
            <w:pPr>
              <w:spacing w:before="0" w:after="0"/>
              <w:ind w:firstLine="446"/>
              <w:rPr>
                <w:rFonts w:cs="Arial"/>
                <w:lang w:val="en-CA" w:eastAsia="en-CA"/>
              </w:rPr>
            </w:pPr>
            <w:r w:rsidRPr="00C0527D">
              <w:rPr>
                <w:rFonts w:cs="Arial"/>
                <w:lang w:val="en-CA" w:eastAsia="en-CA"/>
              </w:rPr>
              <w:t>City of Peterborough</w:t>
            </w:r>
          </w:p>
        </w:tc>
        <w:tc>
          <w:tcPr>
            <w:tcW w:w="3690" w:type="dxa"/>
            <w:tcBorders>
              <w:top w:val="single" w:sz="4" w:space="0" w:color="FFFFFF"/>
              <w:left w:val="single" w:sz="4" w:space="0" w:color="FFFFFF"/>
              <w:bottom w:val="single" w:sz="4" w:space="0" w:color="FFFFFF"/>
              <w:right w:val="single" w:sz="4" w:space="0" w:color="FFFFFF"/>
            </w:tcBorders>
            <w:vAlign w:val="center"/>
          </w:tcPr>
          <w:p w14:paraId="0E539F9B" w14:textId="77777777" w:rsidR="00C0527D" w:rsidRPr="00C0527D" w:rsidRDefault="00C0527D" w:rsidP="00C0527D">
            <w:pPr>
              <w:spacing w:before="0" w:after="0"/>
              <w:ind w:firstLine="446"/>
              <w:rPr>
                <w:rFonts w:cs="Arial"/>
                <w:lang w:val="en-CA" w:eastAsia="en-CA"/>
              </w:rPr>
            </w:pPr>
            <w:r w:rsidRPr="00C0527D">
              <w:rPr>
                <w:rFonts w:cs="Arial"/>
                <w:lang w:val="en-CA" w:eastAsia="en-CA"/>
              </w:rPr>
              <w:t>Fleming College</w:t>
            </w:r>
          </w:p>
        </w:tc>
      </w:tr>
      <w:tr w:rsidR="00C0527D" w:rsidRPr="00C0527D" w14:paraId="5405DB49"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center"/>
            <w:hideMark/>
          </w:tcPr>
          <w:p w14:paraId="6B6AC9ED" w14:textId="77777777" w:rsidR="00C0527D" w:rsidRPr="00C0527D" w:rsidRDefault="00C0527D" w:rsidP="00C0527D">
            <w:pPr>
              <w:spacing w:before="0" w:after="0"/>
              <w:ind w:firstLine="446"/>
              <w:rPr>
                <w:rFonts w:cs="Arial"/>
                <w:lang w:val="en-CA" w:eastAsia="en-CA"/>
              </w:rPr>
            </w:pPr>
            <w:r w:rsidRPr="00C0527D">
              <w:rPr>
                <w:rFonts w:cs="Arial"/>
                <w:lang w:val="en-CA" w:eastAsia="en-CA"/>
              </w:rPr>
              <w:t>City of Kingston</w:t>
            </w:r>
          </w:p>
        </w:tc>
        <w:tc>
          <w:tcPr>
            <w:tcW w:w="3690" w:type="dxa"/>
            <w:tcBorders>
              <w:top w:val="nil"/>
              <w:left w:val="single" w:sz="4" w:space="0" w:color="FFFFFF"/>
              <w:bottom w:val="single" w:sz="4" w:space="0" w:color="FFFFFF"/>
              <w:right w:val="single" w:sz="4" w:space="0" w:color="FFFFFF"/>
            </w:tcBorders>
            <w:vAlign w:val="center"/>
          </w:tcPr>
          <w:p w14:paraId="7AD18C72" w14:textId="77777777" w:rsidR="00C0527D" w:rsidRPr="00C0527D" w:rsidRDefault="00C0527D" w:rsidP="00C0527D">
            <w:pPr>
              <w:spacing w:before="0" w:after="0"/>
              <w:ind w:firstLine="446"/>
              <w:rPr>
                <w:rFonts w:cs="Arial"/>
                <w:lang w:val="en-CA" w:eastAsia="en-CA"/>
              </w:rPr>
            </w:pPr>
            <w:r w:rsidRPr="00C0527D">
              <w:rPr>
                <w:rFonts w:cs="Arial"/>
                <w:lang w:val="en-CA" w:eastAsia="en-CA"/>
              </w:rPr>
              <w:t>Orillia Soldiers Hospital</w:t>
            </w:r>
          </w:p>
        </w:tc>
      </w:tr>
      <w:tr w:rsidR="00C0527D" w:rsidRPr="00C0527D" w14:paraId="43B97127"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center"/>
            <w:hideMark/>
          </w:tcPr>
          <w:p w14:paraId="7FBA72AE" w14:textId="015EA532" w:rsidR="00C0527D" w:rsidRPr="00C0527D" w:rsidRDefault="00C0527D" w:rsidP="00C0527D">
            <w:pPr>
              <w:spacing w:before="0" w:after="0"/>
              <w:ind w:firstLine="446"/>
              <w:rPr>
                <w:rFonts w:cs="Arial"/>
                <w:lang w:val="en-CA" w:eastAsia="en-CA"/>
              </w:rPr>
            </w:pPr>
            <w:r w:rsidRPr="00C0527D">
              <w:rPr>
                <w:rFonts w:cs="Arial"/>
                <w:lang w:val="en-CA" w:eastAsia="en-CA"/>
              </w:rPr>
              <w:t>ty of Brantford</w:t>
            </w:r>
          </w:p>
        </w:tc>
        <w:tc>
          <w:tcPr>
            <w:tcW w:w="3690" w:type="dxa"/>
            <w:tcBorders>
              <w:top w:val="nil"/>
              <w:left w:val="single" w:sz="4" w:space="0" w:color="FFFFFF"/>
              <w:bottom w:val="single" w:sz="4" w:space="0" w:color="FFFFFF"/>
              <w:right w:val="single" w:sz="4" w:space="0" w:color="FFFFFF"/>
            </w:tcBorders>
            <w:vAlign w:val="center"/>
          </w:tcPr>
          <w:p w14:paraId="2ECE8462" w14:textId="77777777" w:rsidR="00C0527D" w:rsidRPr="00C0527D" w:rsidRDefault="00C0527D" w:rsidP="00C0527D">
            <w:pPr>
              <w:spacing w:before="0" w:after="0"/>
              <w:ind w:firstLine="446"/>
              <w:rPr>
                <w:rFonts w:cs="Arial"/>
                <w:lang w:val="en-CA" w:eastAsia="en-CA"/>
              </w:rPr>
            </w:pPr>
            <w:r w:rsidRPr="00C0527D">
              <w:rPr>
                <w:rFonts w:cs="Arial"/>
                <w:lang w:val="en-CA" w:eastAsia="en-CA"/>
              </w:rPr>
              <w:t>Orillia Power Corporation</w:t>
            </w:r>
          </w:p>
        </w:tc>
      </w:tr>
      <w:tr w:rsidR="00C0527D" w:rsidRPr="00C0527D" w14:paraId="260C958E"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bottom"/>
            <w:hideMark/>
          </w:tcPr>
          <w:p w14:paraId="3C36BEEF" w14:textId="77777777" w:rsidR="00C0527D" w:rsidRPr="00C0527D" w:rsidRDefault="00C0527D" w:rsidP="00C0527D">
            <w:pPr>
              <w:spacing w:before="0" w:after="0"/>
              <w:ind w:firstLine="446"/>
              <w:rPr>
                <w:rFonts w:cs="Arial"/>
                <w:color w:val="000000"/>
                <w:lang w:val="en-CA" w:eastAsia="en-CA"/>
              </w:rPr>
            </w:pPr>
            <w:r w:rsidRPr="00C0527D">
              <w:rPr>
                <w:rFonts w:cs="Arial"/>
                <w:color w:val="000000"/>
                <w:lang w:val="en-CA" w:eastAsia="en-CA"/>
              </w:rPr>
              <w:t>City of Belleville</w:t>
            </w:r>
          </w:p>
        </w:tc>
        <w:tc>
          <w:tcPr>
            <w:tcW w:w="3690" w:type="dxa"/>
            <w:tcBorders>
              <w:top w:val="nil"/>
              <w:left w:val="single" w:sz="4" w:space="0" w:color="FFFFFF"/>
              <w:bottom w:val="single" w:sz="4" w:space="0" w:color="FFFFFF"/>
              <w:right w:val="single" w:sz="4" w:space="0" w:color="FFFFFF"/>
            </w:tcBorders>
            <w:vAlign w:val="center"/>
          </w:tcPr>
          <w:p w14:paraId="1B47A188" w14:textId="77777777" w:rsidR="00C0527D" w:rsidRPr="00C0527D" w:rsidRDefault="00C0527D" w:rsidP="00C0527D">
            <w:pPr>
              <w:spacing w:before="0" w:after="0"/>
              <w:ind w:firstLine="446"/>
              <w:rPr>
                <w:rFonts w:cs="Arial"/>
                <w:lang w:val="en-CA" w:eastAsia="en-CA"/>
              </w:rPr>
            </w:pPr>
            <w:r w:rsidRPr="00C0527D">
              <w:rPr>
                <w:rFonts w:cs="Arial"/>
                <w:lang w:val="en-CA" w:eastAsia="en-CA"/>
              </w:rPr>
              <w:t xml:space="preserve">County of Peterborough </w:t>
            </w:r>
          </w:p>
        </w:tc>
      </w:tr>
      <w:tr w:rsidR="00C0527D" w:rsidRPr="00C0527D" w14:paraId="5D45FEF3"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center"/>
            <w:hideMark/>
          </w:tcPr>
          <w:p w14:paraId="4BD23670" w14:textId="77777777" w:rsidR="00C0527D" w:rsidRPr="00C0527D" w:rsidRDefault="00C0527D" w:rsidP="00C0527D">
            <w:pPr>
              <w:spacing w:before="0" w:after="0"/>
              <w:ind w:firstLine="446"/>
              <w:rPr>
                <w:rFonts w:cs="Arial"/>
                <w:lang w:val="en-CA" w:eastAsia="en-CA"/>
              </w:rPr>
            </w:pPr>
            <w:r w:rsidRPr="00C0527D">
              <w:rPr>
                <w:rFonts w:cs="Arial"/>
                <w:lang w:val="en-CA" w:eastAsia="en-CA"/>
              </w:rPr>
              <w:t>County of Hastings</w:t>
            </w:r>
          </w:p>
        </w:tc>
        <w:tc>
          <w:tcPr>
            <w:tcW w:w="3690" w:type="dxa"/>
            <w:tcBorders>
              <w:top w:val="nil"/>
              <w:left w:val="single" w:sz="4" w:space="0" w:color="FFFFFF"/>
              <w:bottom w:val="single" w:sz="4" w:space="0" w:color="FFFFFF"/>
              <w:right w:val="single" w:sz="4" w:space="0" w:color="FFFFFF"/>
            </w:tcBorders>
            <w:vAlign w:val="center"/>
          </w:tcPr>
          <w:p w14:paraId="5A7F35F6" w14:textId="77777777" w:rsidR="00C0527D" w:rsidRPr="00C0527D" w:rsidRDefault="00C0527D" w:rsidP="00C0527D">
            <w:pPr>
              <w:spacing w:before="0" w:after="0"/>
              <w:ind w:firstLine="446"/>
              <w:rPr>
                <w:rFonts w:cs="Arial"/>
                <w:lang w:val="en-CA" w:eastAsia="en-CA"/>
              </w:rPr>
            </w:pPr>
            <w:r w:rsidRPr="00C0527D">
              <w:rPr>
                <w:rFonts w:cs="Arial"/>
                <w:lang w:val="en-CA" w:eastAsia="en-CA"/>
              </w:rPr>
              <w:t>Municipality of Clarington</w:t>
            </w:r>
          </w:p>
        </w:tc>
      </w:tr>
      <w:tr w:rsidR="00C0527D" w:rsidRPr="00C0527D" w14:paraId="0AF7AEE3"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center"/>
            <w:hideMark/>
          </w:tcPr>
          <w:p w14:paraId="61528F49" w14:textId="77777777" w:rsidR="00C0527D" w:rsidRPr="00C0527D" w:rsidRDefault="00C0527D" w:rsidP="00C0527D">
            <w:pPr>
              <w:spacing w:before="0" w:after="0"/>
              <w:ind w:firstLine="446"/>
              <w:rPr>
                <w:rFonts w:cs="Arial"/>
                <w:color w:val="000000"/>
                <w:lang w:val="en-CA" w:eastAsia="en-CA"/>
              </w:rPr>
            </w:pPr>
            <w:r w:rsidRPr="00C0527D">
              <w:rPr>
                <w:rFonts w:cs="Arial"/>
                <w:color w:val="000000"/>
                <w:lang w:val="en-CA" w:eastAsia="en-CA"/>
              </w:rPr>
              <w:t>City of Quinte West</w:t>
            </w:r>
          </w:p>
        </w:tc>
        <w:tc>
          <w:tcPr>
            <w:tcW w:w="3690" w:type="dxa"/>
            <w:tcBorders>
              <w:top w:val="nil"/>
              <w:left w:val="single" w:sz="4" w:space="0" w:color="FFFFFF"/>
              <w:bottom w:val="single" w:sz="4" w:space="0" w:color="FFFFFF"/>
              <w:right w:val="single" w:sz="4" w:space="0" w:color="FFFFFF"/>
            </w:tcBorders>
            <w:vAlign w:val="center"/>
          </w:tcPr>
          <w:p w14:paraId="374FC9A6" w14:textId="77777777" w:rsidR="00C0527D" w:rsidRPr="00C0527D" w:rsidRDefault="00C0527D" w:rsidP="00C0527D">
            <w:pPr>
              <w:spacing w:before="0" w:after="0"/>
              <w:ind w:firstLine="446"/>
              <w:rPr>
                <w:rFonts w:cs="Arial"/>
                <w:lang w:val="en-CA" w:eastAsia="en-CA"/>
              </w:rPr>
            </w:pPr>
            <w:r w:rsidRPr="00C0527D">
              <w:rPr>
                <w:rFonts w:cs="Arial"/>
                <w:lang w:val="en-CA" w:eastAsia="en-CA"/>
              </w:rPr>
              <w:t xml:space="preserve">Peterborough Utilities </w:t>
            </w:r>
          </w:p>
        </w:tc>
      </w:tr>
      <w:tr w:rsidR="00C0527D" w:rsidRPr="00C0527D" w14:paraId="1627E353"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center"/>
            <w:hideMark/>
          </w:tcPr>
          <w:p w14:paraId="5AFCFC2D" w14:textId="77777777" w:rsidR="00C0527D" w:rsidRPr="00C0527D" w:rsidRDefault="00C0527D" w:rsidP="00C0527D">
            <w:pPr>
              <w:spacing w:before="0" w:after="0"/>
              <w:ind w:firstLine="446"/>
              <w:rPr>
                <w:rFonts w:cs="Arial"/>
                <w:lang w:val="en-CA" w:eastAsia="en-CA"/>
              </w:rPr>
            </w:pPr>
            <w:r w:rsidRPr="00C0527D">
              <w:rPr>
                <w:rFonts w:cs="Arial"/>
                <w:lang w:val="en-CA" w:eastAsia="en-CA"/>
              </w:rPr>
              <w:t>County of Northumberland</w:t>
            </w:r>
          </w:p>
        </w:tc>
        <w:tc>
          <w:tcPr>
            <w:tcW w:w="3690" w:type="dxa"/>
            <w:tcBorders>
              <w:top w:val="nil"/>
              <w:left w:val="single" w:sz="4" w:space="0" w:color="FFFFFF"/>
              <w:bottom w:val="single" w:sz="4" w:space="0" w:color="FFFFFF"/>
              <w:right w:val="single" w:sz="4" w:space="0" w:color="FFFFFF"/>
            </w:tcBorders>
            <w:vAlign w:val="center"/>
          </w:tcPr>
          <w:p w14:paraId="36632FA7" w14:textId="77777777" w:rsidR="00C0527D" w:rsidRPr="00C0527D" w:rsidRDefault="00C0527D" w:rsidP="00C0527D">
            <w:pPr>
              <w:spacing w:before="0" w:after="0"/>
              <w:ind w:firstLine="446"/>
              <w:rPr>
                <w:rFonts w:cs="Arial"/>
                <w:lang w:val="en-CA" w:eastAsia="en-CA"/>
              </w:rPr>
            </w:pPr>
            <w:r w:rsidRPr="00C0527D">
              <w:rPr>
                <w:rFonts w:cs="Arial"/>
                <w:lang w:val="en-CA" w:eastAsia="en-CA"/>
              </w:rPr>
              <w:t>Ross Memorial Hospital</w:t>
            </w:r>
          </w:p>
        </w:tc>
      </w:tr>
      <w:tr w:rsidR="00C0527D" w:rsidRPr="00C0527D" w14:paraId="7EF4E157" w14:textId="77777777" w:rsidTr="00962D9D">
        <w:trPr>
          <w:trHeight w:val="300"/>
        </w:trPr>
        <w:tc>
          <w:tcPr>
            <w:tcW w:w="3705" w:type="dxa"/>
            <w:tcBorders>
              <w:top w:val="nil"/>
              <w:left w:val="single" w:sz="4" w:space="0" w:color="FFFFFF"/>
              <w:bottom w:val="single" w:sz="4" w:space="0" w:color="FFFFFF"/>
              <w:right w:val="single" w:sz="4" w:space="0" w:color="FFFFFF"/>
            </w:tcBorders>
            <w:noWrap/>
            <w:vAlign w:val="center"/>
            <w:hideMark/>
          </w:tcPr>
          <w:p w14:paraId="1348AFD6" w14:textId="77777777" w:rsidR="00C0527D" w:rsidRPr="00C0527D" w:rsidRDefault="00C0527D" w:rsidP="00C0527D">
            <w:pPr>
              <w:spacing w:before="0" w:after="0"/>
              <w:ind w:firstLine="446"/>
              <w:rPr>
                <w:rFonts w:cs="Arial"/>
                <w:lang w:val="en-CA" w:eastAsia="en-CA"/>
              </w:rPr>
            </w:pPr>
            <w:r w:rsidRPr="00C0527D">
              <w:rPr>
                <w:rFonts w:cs="Arial"/>
                <w:lang w:val="en-CA" w:eastAsia="en-CA"/>
              </w:rPr>
              <w:t>City of Orillia</w:t>
            </w:r>
          </w:p>
        </w:tc>
        <w:tc>
          <w:tcPr>
            <w:tcW w:w="3690" w:type="dxa"/>
            <w:tcBorders>
              <w:top w:val="nil"/>
              <w:left w:val="single" w:sz="4" w:space="0" w:color="FFFFFF"/>
              <w:bottom w:val="single" w:sz="4" w:space="0" w:color="FFFFFF"/>
              <w:right w:val="single" w:sz="4" w:space="0" w:color="FFFFFF"/>
            </w:tcBorders>
            <w:vAlign w:val="center"/>
          </w:tcPr>
          <w:p w14:paraId="668E5F8F" w14:textId="77777777" w:rsidR="00C0527D" w:rsidRPr="00C0527D" w:rsidRDefault="00C0527D" w:rsidP="00C0527D">
            <w:pPr>
              <w:spacing w:before="0" w:after="0"/>
              <w:ind w:firstLine="446"/>
              <w:rPr>
                <w:rFonts w:cs="Arial"/>
                <w:lang w:val="en-CA" w:eastAsia="en-CA"/>
              </w:rPr>
            </w:pPr>
          </w:p>
        </w:tc>
      </w:tr>
    </w:tbl>
    <w:p w14:paraId="1375B221" w14:textId="7B451C44" w:rsidR="00C0527D" w:rsidRPr="00C0527D" w:rsidRDefault="00330B07" w:rsidP="00330B07">
      <w:pPr>
        <w:pStyle w:val="Heading2"/>
      </w:pPr>
      <w:r>
        <w:t>3.</w:t>
      </w:r>
      <w:r w:rsidR="00C0527D" w:rsidRPr="00C0527D">
        <w:tab/>
        <w:t>Compensation</w:t>
      </w:r>
    </w:p>
    <w:p w14:paraId="253F68A4" w14:textId="77777777" w:rsidR="00C0527D" w:rsidRPr="00C0527D" w:rsidRDefault="00C0527D" w:rsidP="00330B07">
      <w:pPr>
        <w:tabs>
          <w:tab w:val="left" w:pos="720"/>
        </w:tabs>
        <w:ind w:left="720" w:hanging="720"/>
        <w:rPr>
          <w:rFonts w:cs="Arial"/>
        </w:rPr>
      </w:pPr>
      <w:r w:rsidRPr="00C0527D">
        <w:rPr>
          <w:rFonts w:cs="Arial"/>
        </w:rPr>
        <w:t>3.1</w:t>
      </w:r>
      <w:r w:rsidRPr="00C0527D">
        <w:rPr>
          <w:rFonts w:cs="Arial"/>
        </w:rPr>
        <w:tab/>
        <w:t>Positions are classified on the Compensation Position Classification Ladder based on the City’s pay equity plan.</w:t>
      </w:r>
    </w:p>
    <w:p w14:paraId="0C9E2E74" w14:textId="77777777" w:rsidR="00C0527D" w:rsidRPr="00C0527D" w:rsidRDefault="00C0527D" w:rsidP="00330B07">
      <w:pPr>
        <w:tabs>
          <w:tab w:val="left" w:pos="720"/>
        </w:tabs>
        <w:ind w:left="720" w:hanging="720"/>
        <w:rPr>
          <w:rFonts w:cs="Arial"/>
        </w:rPr>
      </w:pPr>
      <w:r w:rsidRPr="00C0527D">
        <w:rPr>
          <w:rFonts w:cs="Arial"/>
        </w:rPr>
        <w:t>3.2</w:t>
      </w:r>
      <w:r w:rsidRPr="00C0527D">
        <w:rPr>
          <w:rFonts w:cs="Arial"/>
        </w:rPr>
        <w:tab/>
        <w:t>Positions shall be placed on the compensation Grid based on the Compensation Position Classification Ladder.</w:t>
      </w:r>
    </w:p>
    <w:p w14:paraId="2B68C792" w14:textId="77777777" w:rsidR="00C0527D" w:rsidRPr="00C0527D" w:rsidRDefault="00C0527D" w:rsidP="00330B07">
      <w:pPr>
        <w:numPr>
          <w:ilvl w:val="1"/>
          <w:numId w:val="4"/>
        </w:numPr>
        <w:tabs>
          <w:tab w:val="left" w:pos="720"/>
        </w:tabs>
        <w:ind w:left="720" w:hanging="720"/>
        <w:rPr>
          <w:rFonts w:cs="Arial"/>
          <w:b/>
        </w:rPr>
      </w:pPr>
      <w:r w:rsidRPr="00C0527D">
        <w:rPr>
          <w:rFonts w:cs="Arial"/>
        </w:rPr>
        <w:t>Existing Employees -</w:t>
      </w:r>
      <w:r w:rsidRPr="00C0527D">
        <w:rPr>
          <w:rFonts w:cs="Arial"/>
          <w:b/>
        </w:rPr>
        <w:t xml:space="preserve"> </w:t>
      </w:r>
      <w:r w:rsidRPr="00C0527D">
        <w:rPr>
          <w:rFonts w:cs="Arial"/>
        </w:rPr>
        <w:t>Movement through the pay band will be based on a successful performance evaluation for the prior year.</w:t>
      </w:r>
    </w:p>
    <w:p w14:paraId="6DBD050D" w14:textId="77777777" w:rsidR="00C0527D" w:rsidRPr="00C0527D" w:rsidRDefault="00C0527D" w:rsidP="00330B07">
      <w:pPr>
        <w:numPr>
          <w:ilvl w:val="1"/>
          <w:numId w:val="3"/>
        </w:numPr>
        <w:tabs>
          <w:tab w:val="left" w:pos="720"/>
        </w:tabs>
        <w:ind w:left="720" w:hanging="720"/>
        <w:rPr>
          <w:rFonts w:cs="Arial"/>
          <w:b/>
        </w:rPr>
      </w:pPr>
      <w:r w:rsidRPr="00C0527D">
        <w:rPr>
          <w:rFonts w:cs="Arial"/>
        </w:rPr>
        <w:t xml:space="preserve">New Employees shall be placed in the pay band their positions </w:t>
      </w:r>
      <w:proofErr w:type="gramStart"/>
      <w:r w:rsidRPr="00C0527D">
        <w:rPr>
          <w:rFonts w:cs="Arial"/>
        </w:rPr>
        <w:t>is</w:t>
      </w:r>
      <w:proofErr w:type="gramEnd"/>
      <w:r w:rsidRPr="00C0527D">
        <w:rPr>
          <w:rFonts w:cs="Arial"/>
        </w:rPr>
        <w:t xml:space="preserve"> classified under at a Step negotiated based upon experience and market competitiveness.</w:t>
      </w:r>
    </w:p>
    <w:p w14:paraId="0777BBD6" w14:textId="77777777" w:rsidR="00C0527D" w:rsidRPr="00C0527D" w:rsidRDefault="00C0527D" w:rsidP="00330B07">
      <w:pPr>
        <w:numPr>
          <w:ilvl w:val="1"/>
          <w:numId w:val="3"/>
        </w:numPr>
        <w:tabs>
          <w:tab w:val="left" w:pos="720"/>
        </w:tabs>
        <w:ind w:left="720" w:hanging="720"/>
        <w:rPr>
          <w:rFonts w:cs="Arial"/>
        </w:rPr>
      </w:pPr>
      <w:r w:rsidRPr="00C0527D">
        <w:rPr>
          <w:rFonts w:cs="Arial"/>
        </w:rPr>
        <w:lastRenderedPageBreak/>
        <w:t>Red-circled Employee Salaries occurs when an incumbent is in a position where the Job Rate of the salary range is less than the current pay of the employee. The pay of the employee is frozen until the pay range “catches up” to the pay of the red-circled employee.</w:t>
      </w:r>
    </w:p>
    <w:p w14:paraId="176DBAD0" w14:textId="77777777" w:rsidR="00C0527D" w:rsidRPr="00C0527D" w:rsidRDefault="00C0527D" w:rsidP="00330B07">
      <w:pPr>
        <w:numPr>
          <w:ilvl w:val="1"/>
          <w:numId w:val="3"/>
        </w:numPr>
        <w:tabs>
          <w:tab w:val="left" w:pos="720"/>
        </w:tabs>
        <w:ind w:left="720" w:hanging="720"/>
        <w:rPr>
          <w:rFonts w:cs="Arial"/>
        </w:rPr>
      </w:pPr>
      <w:r w:rsidRPr="00C0527D">
        <w:rPr>
          <w:rFonts w:cs="Arial"/>
        </w:rPr>
        <w:t>Transfers, promotions, demotions</w:t>
      </w:r>
    </w:p>
    <w:p w14:paraId="67A48EA2" w14:textId="77777777" w:rsidR="00C0527D" w:rsidRPr="00C0527D" w:rsidRDefault="00C0527D" w:rsidP="00C0527D">
      <w:pPr>
        <w:numPr>
          <w:ilvl w:val="2"/>
          <w:numId w:val="3"/>
        </w:numPr>
        <w:tabs>
          <w:tab w:val="left" w:pos="1620"/>
        </w:tabs>
        <w:ind w:left="1620" w:hanging="900"/>
        <w:rPr>
          <w:rFonts w:cs="Arial"/>
        </w:rPr>
      </w:pPr>
      <w:r w:rsidRPr="00C0527D">
        <w:rPr>
          <w:rFonts w:cs="Arial"/>
        </w:rPr>
        <w:t>When an employee is permanently transferred or promoted to a position in a higher pay range, the employee will be placed in the new pay band that allows for a minimum of a 5% increase.</w:t>
      </w:r>
    </w:p>
    <w:p w14:paraId="2F00CB39" w14:textId="77777777" w:rsidR="00C0527D" w:rsidRPr="00C0527D" w:rsidRDefault="00C0527D" w:rsidP="00C0527D">
      <w:pPr>
        <w:numPr>
          <w:ilvl w:val="2"/>
          <w:numId w:val="3"/>
        </w:numPr>
        <w:tabs>
          <w:tab w:val="left" w:pos="1620"/>
        </w:tabs>
        <w:ind w:left="1620" w:hanging="900"/>
        <w:rPr>
          <w:rFonts w:cs="Arial"/>
        </w:rPr>
      </w:pPr>
      <w:r w:rsidRPr="00C0527D">
        <w:rPr>
          <w:rFonts w:cs="Arial"/>
        </w:rPr>
        <w:t>If an employee is permanently demoted or transferred to a position in a lower pay grade, the present salary level may be red-circled.</w:t>
      </w:r>
    </w:p>
    <w:p w14:paraId="4C811289" w14:textId="77777777" w:rsidR="00C0527D" w:rsidRPr="00C0527D" w:rsidRDefault="00C0527D" w:rsidP="00C0527D">
      <w:pPr>
        <w:numPr>
          <w:ilvl w:val="2"/>
          <w:numId w:val="3"/>
        </w:numPr>
        <w:tabs>
          <w:tab w:val="left" w:pos="1620"/>
        </w:tabs>
        <w:ind w:left="1620" w:hanging="900"/>
        <w:rPr>
          <w:rFonts w:cs="Arial"/>
        </w:rPr>
      </w:pPr>
      <w:r w:rsidRPr="00C0527D">
        <w:rPr>
          <w:rFonts w:cs="Arial"/>
        </w:rPr>
        <w:t>In the event an employee applies for and is successful in obtaining a lower paid position, the employee will move to the start rate of that position.</w:t>
      </w:r>
    </w:p>
    <w:p w14:paraId="0EB100E4" w14:textId="77777777" w:rsidR="00C0527D" w:rsidRPr="00C0527D" w:rsidRDefault="00C0527D" w:rsidP="00330B07">
      <w:pPr>
        <w:numPr>
          <w:ilvl w:val="1"/>
          <w:numId w:val="3"/>
        </w:numPr>
        <w:spacing w:line="260" w:lineRule="atLeast"/>
        <w:ind w:left="720" w:hanging="720"/>
        <w:rPr>
          <w:rFonts w:cs="Arial"/>
        </w:rPr>
      </w:pPr>
      <w:r w:rsidRPr="00C0527D">
        <w:rPr>
          <w:rFonts w:cs="Arial"/>
        </w:rPr>
        <w:t xml:space="preserve">Compression that may arise between supervisory positions and the unionized staff they supervise will be reviewed on an annual basis by the Chief Administrative Officer. The Chief Administrative Officer shall determine if the Non Union Compensation Grid requires adjustment to ensure </w:t>
      </w:r>
      <w:proofErr w:type="gramStart"/>
      <w:r w:rsidRPr="00C0527D">
        <w:rPr>
          <w:rFonts w:cs="Arial"/>
        </w:rPr>
        <w:t>a  spread</w:t>
      </w:r>
      <w:proofErr w:type="gramEnd"/>
      <w:r w:rsidRPr="00C0527D">
        <w:rPr>
          <w:rFonts w:cs="Arial"/>
        </w:rPr>
        <w:t xml:space="preserve"> is maintained between levels of responsibility.</w:t>
      </w:r>
    </w:p>
    <w:p w14:paraId="377BEC9E" w14:textId="77777777" w:rsidR="00C0527D" w:rsidRPr="00C0527D" w:rsidRDefault="00C0527D" w:rsidP="00330B07">
      <w:pPr>
        <w:numPr>
          <w:ilvl w:val="1"/>
          <w:numId w:val="3"/>
        </w:numPr>
        <w:spacing w:line="260" w:lineRule="atLeast"/>
        <w:ind w:left="720" w:hanging="720"/>
        <w:rPr>
          <w:rFonts w:cs="Arial"/>
        </w:rPr>
      </w:pPr>
      <w:r w:rsidRPr="00C0527D">
        <w:rPr>
          <w:rFonts w:cs="Arial"/>
        </w:rPr>
        <w:t>When an employee is temporarily given the duties of a position in a higher classification, Acting Pay may be provided in accordance with the terms depicted in the Management Directive.</w:t>
      </w:r>
    </w:p>
    <w:p w14:paraId="28312F4F" w14:textId="77777777" w:rsidR="00C0527D" w:rsidRPr="00C0527D" w:rsidRDefault="00C0527D" w:rsidP="00330B07">
      <w:pPr>
        <w:overflowPunct w:val="0"/>
        <w:autoSpaceDE w:val="0"/>
        <w:autoSpaceDN w:val="0"/>
        <w:adjustRightInd w:val="0"/>
        <w:ind w:left="720" w:hanging="720"/>
        <w:textAlignment w:val="baseline"/>
        <w:rPr>
          <w:rFonts w:cs="Arial"/>
        </w:rPr>
      </w:pPr>
      <w:r w:rsidRPr="00C0527D">
        <w:rPr>
          <w:rFonts w:cs="Arial"/>
          <w:bCs/>
        </w:rPr>
        <w:t>3.9</w:t>
      </w:r>
      <w:r w:rsidRPr="00C0527D">
        <w:rPr>
          <w:rFonts w:cs="Arial"/>
          <w:bCs/>
        </w:rPr>
        <w:tab/>
        <w:t>The Chief Administrative Officer may provide for other forms of compensation, such as, but not limited to, time in lieu of overtime and stand by pay as depicted in the Management Directive.</w:t>
      </w:r>
    </w:p>
    <w:p w14:paraId="3BF9EAB8" w14:textId="6990F47B" w:rsidR="00330B07" w:rsidRDefault="00330B07" w:rsidP="00330B07">
      <w:pPr>
        <w:pStyle w:val="Heading2"/>
      </w:pPr>
      <w:r>
        <w:t>4</w:t>
      </w:r>
      <w:r w:rsidR="00C0527D" w:rsidRPr="00C0527D">
        <w:t>.</w:t>
      </w:r>
      <w:r w:rsidR="00C0527D" w:rsidRPr="00C0527D">
        <w:tab/>
        <w:t>Hours of Work</w:t>
      </w:r>
    </w:p>
    <w:p w14:paraId="01F0AF3D" w14:textId="2D45A1FE" w:rsidR="00C0527D" w:rsidRPr="00C0527D" w:rsidRDefault="00330B07" w:rsidP="00330B07">
      <w:pPr>
        <w:spacing w:line="260" w:lineRule="atLeast"/>
        <w:ind w:left="720"/>
        <w:rPr>
          <w:rFonts w:cs="Arial"/>
        </w:rPr>
      </w:pPr>
      <w:r>
        <w:rPr>
          <w:rFonts w:cs="Arial"/>
        </w:rPr>
        <w:t>S</w:t>
      </w:r>
      <w:r w:rsidR="00C0527D" w:rsidRPr="00C0527D">
        <w:rPr>
          <w:rFonts w:cs="Arial"/>
        </w:rPr>
        <w:t>alaried employees work 37.5 hours weekly excluding lunch periods.</w:t>
      </w:r>
    </w:p>
    <w:p w14:paraId="097F59DB" w14:textId="72652660" w:rsidR="00C0527D" w:rsidRPr="00C0527D" w:rsidRDefault="00C0527D" w:rsidP="00330B07">
      <w:pPr>
        <w:pStyle w:val="Heading2"/>
      </w:pPr>
      <w:r w:rsidRPr="00C0527D">
        <w:t>5.</w:t>
      </w:r>
      <w:r w:rsidRPr="00C0527D">
        <w:tab/>
        <w:t>Accountability</w:t>
      </w:r>
    </w:p>
    <w:p w14:paraId="75A6DDDB" w14:textId="77777777" w:rsidR="00C0527D" w:rsidRPr="00C0527D" w:rsidRDefault="00C0527D" w:rsidP="00C0527D">
      <w:pPr>
        <w:overflowPunct w:val="0"/>
        <w:autoSpaceDE w:val="0"/>
        <w:autoSpaceDN w:val="0"/>
        <w:adjustRightInd w:val="0"/>
        <w:ind w:left="720" w:hanging="720"/>
        <w:textAlignment w:val="baseline"/>
        <w:rPr>
          <w:rFonts w:cs="Arial"/>
        </w:rPr>
      </w:pPr>
      <w:r w:rsidRPr="00C0527D">
        <w:rPr>
          <w:rFonts w:cs="Arial"/>
        </w:rPr>
        <w:t>5.1</w:t>
      </w:r>
      <w:r w:rsidRPr="00C0527D">
        <w:rPr>
          <w:rFonts w:cs="Arial"/>
        </w:rPr>
        <w:tab/>
        <w:t>Council is responsible to establish the pay philosophy through this policy.</w:t>
      </w:r>
    </w:p>
    <w:p w14:paraId="1D9A0D58" w14:textId="77777777" w:rsidR="00C0527D" w:rsidRPr="00C0527D" w:rsidRDefault="00C0527D" w:rsidP="00C0527D">
      <w:pPr>
        <w:overflowPunct w:val="0"/>
        <w:autoSpaceDE w:val="0"/>
        <w:autoSpaceDN w:val="0"/>
        <w:adjustRightInd w:val="0"/>
        <w:ind w:left="720" w:right="90" w:hanging="720"/>
        <w:textAlignment w:val="baseline"/>
        <w:rPr>
          <w:rFonts w:cs="Arial"/>
        </w:rPr>
      </w:pPr>
      <w:r w:rsidRPr="00C0527D">
        <w:rPr>
          <w:rFonts w:cs="Arial"/>
        </w:rPr>
        <w:lastRenderedPageBreak/>
        <w:t>5.2</w:t>
      </w:r>
      <w:r w:rsidRPr="00C0527D">
        <w:rPr>
          <w:rFonts w:cs="Arial"/>
        </w:rPr>
        <w:tab/>
        <w:t>The Chief Administrative Officer is accountable to implement Council’s Policy through the approval and implementation of a detailed management directive that establishes the operational expectations.</w:t>
      </w:r>
    </w:p>
    <w:p w14:paraId="39FE97CD" w14:textId="77777777" w:rsidR="00C0527D" w:rsidRPr="00C0527D" w:rsidRDefault="00C0527D" w:rsidP="00C0527D">
      <w:pPr>
        <w:overflowPunct w:val="0"/>
        <w:autoSpaceDE w:val="0"/>
        <w:autoSpaceDN w:val="0"/>
        <w:adjustRightInd w:val="0"/>
        <w:ind w:left="720" w:right="90" w:hanging="720"/>
        <w:textAlignment w:val="baseline"/>
        <w:rPr>
          <w:rFonts w:cs="Arial"/>
        </w:rPr>
      </w:pPr>
      <w:r w:rsidRPr="00C0527D">
        <w:rPr>
          <w:rFonts w:cs="Arial"/>
        </w:rPr>
        <w:t>5.3</w:t>
      </w:r>
      <w:r w:rsidRPr="00C0527D">
        <w:rPr>
          <w:rFonts w:cs="Arial"/>
        </w:rPr>
        <w:tab/>
        <w:t>The Chief Administrative Officer is responsible to approve extraordinary circumstances that may arise with respect to compensation that have not been addressed within this policy.</w:t>
      </w:r>
    </w:p>
    <w:p w14:paraId="77125B1A" w14:textId="77777777" w:rsidR="00C0527D" w:rsidRPr="00C0527D" w:rsidRDefault="00C0527D" w:rsidP="00C0527D">
      <w:pPr>
        <w:overflowPunct w:val="0"/>
        <w:autoSpaceDE w:val="0"/>
        <w:autoSpaceDN w:val="0"/>
        <w:adjustRightInd w:val="0"/>
        <w:ind w:left="720" w:right="90" w:hanging="720"/>
        <w:textAlignment w:val="baseline"/>
        <w:rPr>
          <w:rFonts w:cs="Arial"/>
        </w:rPr>
      </w:pPr>
      <w:r w:rsidRPr="00C0527D">
        <w:rPr>
          <w:rFonts w:cs="Arial"/>
        </w:rPr>
        <w:t>5.4</w:t>
      </w:r>
      <w:r w:rsidRPr="00C0527D">
        <w:rPr>
          <w:rFonts w:cs="Arial"/>
        </w:rPr>
        <w:tab/>
        <w:t>Corporate Services is responsible to ensure that the City’s Policy and Management Directive are adhered to.</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C0527D">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C036E4" w:rsidRPr="006173E2" w14:paraId="05E1A734" w14:textId="77777777" w:rsidTr="00FE48B2">
        <w:trPr>
          <w:trHeight w:val="432"/>
        </w:trPr>
        <w:tc>
          <w:tcPr>
            <w:tcW w:w="1217" w:type="dxa"/>
            <w:vAlign w:val="center"/>
          </w:tcPr>
          <w:p w14:paraId="6545A548" w14:textId="3CA541E7" w:rsidR="00C036E4" w:rsidRPr="006173E2" w:rsidRDefault="00C036E4" w:rsidP="00FE48B2">
            <w:pPr>
              <w:rPr>
                <w:rFonts w:cs="Arial"/>
              </w:rPr>
            </w:pPr>
            <w:r>
              <w:rPr>
                <w:rFonts w:cs="Arial"/>
              </w:rPr>
              <w:t>1.0</w:t>
            </w:r>
          </w:p>
        </w:tc>
        <w:tc>
          <w:tcPr>
            <w:tcW w:w="970" w:type="dxa"/>
            <w:vAlign w:val="center"/>
          </w:tcPr>
          <w:p w14:paraId="3BE2B092" w14:textId="1B41D1AB" w:rsidR="00C036E4" w:rsidRDefault="00C036E4" w:rsidP="00FE48B2">
            <w:pPr>
              <w:rPr>
                <w:rFonts w:cs="Arial"/>
              </w:rPr>
            </w:pPr>
            <w:r>
              <w:rPr>
                <w:rFonts w:cs="Arial"/>
              </w:rPr>
              <w:t>April 20, 2021</w:t>
            </w:r>
          </w:p>
        </w:tc>
        <w:tc>
          <w:tcPr>
            <w:tcW w:w="3933" w:type="dxa"/>
            <w:vAlign w:val="center"/>
          </w:tcPr>
          <w:p w14:paraId="029C9CB9" w14:textId="251210AE" w:rsidR="00C036E4" w:rsidRDefault="00C036E4" w:rsidP="00FE48B2">
            <w:pPr>
              <w:rPr>
                <w:rFonts w:cs="Arial"/>
              </w:rPr>
            </w:pPr>
            <w:r>
              <w:rPr>
                <w:rFonts w:cs="Arial"/>
              </w:rPr>
              <w:t>Updated Policy Number</w:t>
            </w:r>
          </w:p>
        </w:tc>
        <w:tc>
          <w:tcPr>
            <w:tcW w:w="2160" w:type="dxa"/>
            <w:vAlign w:val="center"/>
          </w:tcPr>
          <w:p w14:paraId="4D3503DA" w14:textId="4DA6C1E4" w:rsidR="00C036E4" w:rsidRPr="006173E2" w:rsidRDefault="00C036E4" w:rsidP="00FE48B2">
            <w:pPr>
              <w:rPr>
                <w:rFonts w:cs="Arial"/>
              </w:rPr>
            </w:pPr>
            <w:r>
              <w:rPr>
                <w:rFonts w:cs="Arial"/>
              </w:rPr>
              <w:t>Council</w:t>
            </w:r>
            <w:bookmarkStart w:id="0" w:name="_GoBack"/>
            <w:bookmarkEnd w:id="0"/>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64C803D1" w:rsidR="00226B10" w:rsidRPr="00F95061" w:rsidRDefault="00C036E4" w:rsidP="00F95061">
            <w:pPr>
              <w:pStyle w:val="Footer"/>
              <w:jc w:val="right"/>
              <w:rPr>
                <w:rFonts w:cs="Arial"/>
                <w:sz w:val="20"/>
                <w:szCs w:val="20"/>
              </w:rPr>
            </w:pPr>
            <w:r>
              <w:rPr>
                <w:rFonts w:cs="Arial"/>
                <w:sz w:val="20"/>
                <w:szCs w:val="20"/>
              </w:rPr>
              <w:t>CP2021-021</w:t>
            </w:r>
            <w:r w:rsidR="00330B07">
              <w:rPr>
                <w:rFonts w:cs="Arial"/>
                <w:sz w:val="20"/>
                <w:szCs w:val="20"/>
              </w:rPr>
              <w:t xml:space="preserve"> Non Union Compensation Policy</w:t>
            </w:r>
            <w:r w:rsidR="00330B07">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CA33B83"/>
    <w:multiLevelType w:val="multilevel"/>
    <w:tmpl w:val="7AE4E0B0"/>
    <w:lvl w:ilvl="0">
      <w:start w:val="3"/>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 w15:restartNumberingAfterBreak="0">
    <w:nsid w:val="5DED114A"/>
    <w:multiLevelType w:val="multilevel"/>
    <w:tmpl w:val="00F633C0"/>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226B10"/>
    <w:rsid w:val="002A1197"/>
    <w:rsid w:val="002A4BEF"/>
    <w:rsid w:val="00330B07"/>
    <w:rsid w:val="00331815"/>
    <w:rsid w:val="003B3C67"/>
    <w:rsid w:val="003D71D0"/>
    <w:rsid w:val="003E69C2"/>
    <w:rsid w:val="00425202"/>
    <w:rsid w:val="0046540A"/>
    <w:rsid w:val="00467795"/>
    <w:rsid w:val="004A377A"/>
    <w:rsid w:val="004B297F"/>
    <w:rsid w:val="004B540D"/>
    <w:rsid w:val="006470BE"/>
    <w:rsid w:val="006C50B4"/>
    <w:rsid w:val="006C6658"/>
    <w:rsid w:val="006E31BC"/>
    <w:rsid w:val="007A4E37"/>
    <w:rsid w:val="007F67E1"/>
    <w:rsid w:val="0084720C"/>
    <w:rsid w:val="00851FD4"/>
    <w:rsid w:val="008E5E29"/>
    <w:rsid w:val="0090099E"/>
    <w:rsid w:val="009D3584"/>
    <w:rsid w:val="009E7C86"/>
    <w:rsid w:val="00A07FCF"/>
    <w:rsid w:val="00A136DA"/>
    <w:rsid w:val="00AC4A09"/>
    <w:rsid w:val="00B12CB8"/>
    <w:rsid w:val="00B5071F"/>
    <w:rsid w:val="00B614C0"/>
    <w:rsid w:val="00C036E4"/>
    <w:rsid w:val="00C0527D"/>
    <w:rsid w:val="00C06DED"/>
    <w:rsid w:val="00C465FA"/>
    <w:rsid w:val="00C74F14"/>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34</COKL_x0020_Division>
    <COKL_x0020_Department xmlns="9a81a57e-1799-4259-a456-052d3d590a00">4</COKL_x0020_Department>
    <Effective_x0020_Date xmlns="9a81a57e-1799-4259-a456-052d3d590a00">2016-05-24T04:00:00+00:00</Effective_x0020_Date>
    <_dlc_DocId xmlns="2026e193-403e-49b0-84d7-399809578d26">PYP3NSX4DFEQ-18-93</_dlc_DocId>
    <_dlc_DocIdUrl xmlns="2026e193-403e-49b0-84d7-399809578d26">
      <Url>https://documents.city.kawarthalakes.on.ca/sites/CorpDocs/_layouts/15/DocIdRedir.aspx?ID=PYP3NSX4DFEQ-18-93</Url>
      <Description>PYP3NSX4DFEQ-18-93</Description>
    </_dlc_DocIdUrl>
    <Policy_x0020_Number xmlns="9a81a57e-1799-4259-a456-052d3d590a00">CP2021-021</Policy_x0020_Number>
    <Related_x0020_Procedure xmlns="9a81a57e-1799-4259-a456-052d3d590a00" xsi:nil="true"/>
    <Approval_x0020_Date xmlns="9a81a57e-1799-4259-a456-052d3d590a00">2016-05-24T04:00:00+00:00</Approval_x0020_Date>
    <Related_x0020_Policy xmlns="9a81a57e-1799-4259-a456-052d3d590a00" xsi:nil="true"/>
    <Policy_x0020_Name xmlns="9a81a57e-1799-4259-a456-052d3d590a00">Non Union Compensation Policy</Policy_x0020_Name>
    <Policy_x0020_Category xmlns="9a81a57e-1799-4259-a456-052d3d590a00">Section N - Human Resources</Policy_x0020_Category>
    <Policy_x0020_Type xmlns="9a81a57e-1799-4259-a456-052d3d590a00">Corporate</Policy_x0020_Type>
    <Policy_x0020_Sub_x0020_Category xmlns="9a81a57e-1799-4259-a456-052d3d590a00">N.05 -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57A3C-185A-4321-B588-AA4B8DEC16D6}"/>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4BEAB890-4821-4119-BE6D-7FE56319A363}"/>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2021-06-04T17:07:00Z</dcterms:created>
  <dcterms:modified xsi:type="dcterms:W3CDTF">2021-06-04T17:07:00Z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b289254f-2604-4df7-b898-8c268769dcd0</vt:lpwstr>
  </property>
</Properties>
</file>