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40C2"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D617CA" w14:paraId="03FC8D06" w14:textId="77777777" w:rsidTr="00116C30">
        <w:trPr>
          <w:trHeight w:val="521"/>
        </w:trPr>
        <w:tc>
          <w:tcPr>
            <w:tcW w:w="4695" w:type="dxa"/>
            <w:vAlign w:val="center"/>
          </w:tcPr>
          <w:p w14:paraId="128430BD" w14:textId="77777777" w:rsidR="00D617CA" w:rsidRDefault="00D617CA" w:rsidP="00D617CA">
            <w:pPr>
              <w:rPr>
                <w:rFonts w:cs="Arial"/>
              </w:rPr>
            </w:pPr>
            <w:r w:rsidRPr="00677D1E">
              <w:rPr>
                <w:rFonts w:cs="Arial"/>
              </w:rPr>
              <w:t>Council Policy No.:</w:t>
            </w:r>
          </w:p>
        </w:tc>
        <w:tc>
          <w:tcPr>
            <w:tcW w:w="4655" w:type="dxa"/>
            <w:vAlign w:val="center"/>
          </w:tcPr>
          <w:p w14:paraId="744E8977" w14:textId="0A7DBECF" w:rsidR="00D617CA" w:rsidRDefault="00CD1452" w:rsidP="00D617CA">
            <w:pPr>
              <w:rPr>
                <w:rFonts w:cs="Arial"/>
              </w:rPr>
            </w:pPr>
            <w:r>
              <w:rPr>
                <w:rFonts w:cs="Arial"/>
              </w:rPr>
              <w:t xml:space="preserve">CP2026-046 </w:t>
            </w:r>
            <w:r w:rsidR="00A95DBA">
              <w:rPr>
                <w:rFonts w:cs="Arial"/>
              </w:rPr>
              <w:t xml:space="preserve">(formerly </w:t>
            </w:r>
            <w:r>
              <w:rPr>
                <w:rFonts w:cs="Arial"/>
              </w:rPr>
              <w:t xml:space="preserve">CP2021-044 </w:t>
            </w:r>
            <w:r>
              <w:rPr>
                <w:rFonts w:cs="Arial"/>
              </w:rPr>
              <w:t xml:space="preserve">and </w:t>
            </w:r>
            <w:r w:rsidR="00A95DBA">
              <w:rPr>
                <w:rFonts w:cs="Arial"/>
              </w:rPr>
              <w:t>CP2018-012)</w:t>
            </w:r>
          </w:p>
        </w:tc>
      </w:tr>
      <w:tr w:rsidR="00D617CA" w14:paraId="71E3E378" w14:textId="77777777" w:rsidTr="00116C30">
        <w:trPr>
          <w:trHeight w:val="539"/>
        </w:trPr>
        <w:tc>
          <w:tcPr>
            <w:tcW w:w="4695" w:type="dxa"/>
            <w:vAlign w:val="center"/>
          </w:tcPr>
          <w:p w14:paraId="0ABADD26" w14:textId="77777777" w:rsidR="00D617CA" w:rsidRDefault="00D617CA" w:rsidP="00D617CA">
            <w:pPr>
              <w:rPr>
                <w:rFonts w:cs="Arial"/>
              </w:rPr>
            </w:pPr>
            <w:r w:rsidRPr="00677D1E">
              <w:rPr>
                <w:rFonts w:cs="Arial"/>
              </w:rPr>
              <w:t>Council Policy Name:</w:t>
            </w:r>
          </w:p>
        </w:tc>
        <w:tc>
          <w:tcPr>
            <w:tcW w:w="4655" w:type="dxa"/>
            <w:vAlign w:val="center"/>
          </w:tcPr>
          <w:p w14:paraId="3DC2B699" w14:textId="74DC2E61" w:rsidR="00D617CA" w:rsidRDefault="00D617CA" w:rsidP="00D617CA">
            <w:pPr>
              <w:overflowPunct w:val="0"/>
              <w:autoSpaceDE w:val="0"/>
              <w:autoSpaceDN w:val="0"/>
              <w:adjustRightInd w:val="0"/>
              <w:textAlignment w:val="baseline"/>
              <w:rPr>
                <w:rFonts w:cs="Arial"/>
              </w:rPr>
            </w:pPr>
            <w:r w:rsidRPr="00CA6640">
              <w:rPr>
                <w:rFonts w:cs="Arial"/>
                <w:bCs/>
                <w:szCs w:val="20"/>
              </w:rPr>
              <w:t>Roadway</w:t>
            </w:r>
            <w:r w:rsidRPr="00CA6640">
              <w:rPr>
                <w:rFonts w:cs="Arial"/>
              </w:rPr>
              <w:t xml:space="preserve"> Classification System </w:t>
            </w:r>
            <w:r w:rsidR="00D9408B">
              <w:rPr>
                <w:rFonts w:cs="Arial"/>
              </w:rPr>
              <w:t>Policy.</w:t>
            </w:r>
          </w:p>
        </w:tc>
      </w:tr>
      <w:tr w:rsidR="00D617CA" w14:paraId="6D20F16F" w14:textId="77777777" w:rsidTr="00116C30">
        <w:trPr>
          <w:trHeight w:val="530"/>
        </w:trPr>
        <w:tc>
          <w:tcPr>
            <w:tcW w:w="4695" w:type="dxa"/>
            <w:vAlign w:val="center"/>
          </w:tcPr>
          <w:p w14:paraId="4E9A7545" w14:textId="77777777" w:rsidR="00D617CA" w:rsidRDefault="00D617CA" w:rsidP="00D617CA">
            <w:pPr>
              <w:rPr>
                <w:rFonts w:cs="Arial"/>
              </w:rPr>
            </w:pPr>
            <w:r w:rsidRPr="00677D1E">
              <w:rPr>
                <w:rFonts w:cs="Arial"/>
              </w:rPr>
              <w:t>Date Approved by Council:</w:t>
            </w:r>
          </w:p>
        </w:tc>
        <w:tc>
          <w:tcPr>
            <w:tcW w:w="4655" w:type="dxa"/>
            <w:vAlign w:val="center"/>
          </w:tcPr>
          <w:p w14:paraId="1691A984" w14:textId="77777777" w:rsidR="00D617CA" w:rsidRDefault="00D617CA" w:rsidP="00D617CA">
            <w:pPr>
              <w:rPr>
                <w:rFonts w:cs="Arial"/>
              </w:rPr>
            </w:pPr>
            <w:r>
              <w:rPr>
                <w:rFonts w:cs="Arial"/>
              </w:rPr>
              <w:t>November 29, 2005</w:t>
            </w:r>
          </w:p>
        </w:tc>
      </w:tr>
      <w:tr w:rsidR="00D617CA" w14:paraId="367F8BA6" w14:textId="77777777" w:rsidTr="00116C30">
        <w:trPr>
          <w:trHeight w:val="530"/>
        </w:trPr>
        <w:tc>
          <w:tcPr>
            <w:tcW w:w="4695" w:type="dxa"/>
            <w:vAlign w:val="center"/>
          </w:tcPr>
          <w:p w14:paraId="23DB3047" w14:textId="77777777" w:rsidR="00D617CA" w:rsidRDefault="00D617CA" w:rsidP="00D617CA">
            <w:pPr>
              <w:rPr>
                <w:rFonts w:cs="Arial"/>
              </w:rPr>
            </w:pPr>
            <w:r w:rsidRPr="00677D1E">
              <w:rPr>
                <w:rFonts w:cs="Arial"/>
              </w:rPr>
              <w:t>Date revision approved by Council:</w:t>
            </w:r>
          </w:p>
        </w:tc>
        <w:tc>
          <w:tcPr>
            <w:tcW w:w="4655" w:type="dxa"/>
            <w:vAlign w:val="center"/>
          </w:tcPr>
          <w:p w14:paraId="1E0241CC" w14:textId="77777777" w:rsidR="00D617CA" w:rsidRDefault="00D617CA" w:rsidP="00D617CA">
            <w:pPr>
              <w:rPr>
                <w:rFonts w:cs="Arial"/>
              </w:rPr>
            </w:pPr>
            <w:r>
              <w:rPr>
                <w:rFonts w:cs="Arial"/>
              </w:rPr>
              <w:t>July 17, 2018</w:t>
            </w:r>
          </w:p>
          <w:p w14:paraId="2AD7DE80" w14:textId="02722FBF" w:rsidR="001B643C" w:rsidRDefault="001B643C" w:rsidP="00D617CA">
            <w:pPr>
              <w:rPr>
                <w:rFonts w:cs="Arial"/>
              </w:rPr>
            </w:pPr>
            <w:r>
              <w:rPr>
                <w:rFonts w:cs="Arial"/>
              </w:rPr>
              <w:t>October 19, 2021</w:t>
            </w:r>
            <w:r w:rsidR="00300C5A">
              <w:rPr>
                <w:rFonts w:cs="Arial"/>
              </w:rPr>
              <w:br/>
              <w:t>CW2021-242/CR2021-470</w:t>
            </w:r>
          </w:p>
        </w:tc>
      </w:tr>
      <w:tr w:rsidR="003B3C67" w14:paraId="758F8D6A" w14:textId="77777777" w:rsidTr="00037E1A">
        <w:trPr>
          <w:trHeight w:val="770"/>
        </w:trPr>
        <w:tc>
          <w:tcPr>
            <w:tcW w:w="4695" w:type="dxa"/>
            <w:vAlign w:val="center"/>
          </w:tcPr>
          <w:p w14:paraId="561D2D27" w14:textId="77777777" w:rsidR="003B3C67" w:rsidRDefault="003B3C67" w:rsidP="003B3C67">
            <w:pPr>
              <w:rPr>
                <w:rFonts w:cs="Arial"/>
              </w:rPr>
            </w:pPr>
            <w:r w:rsidRPr="00677D1E">
              <w:rPr>
                <w:rFonts w:cs="Arial"/>
              </w:rPr>
              <w:t>Related SOP, Management Directive, Council Policy, Forms</w:t>
            </w:r>
          </w:p>
        </w:tc>
        <w:tc>
          <w:tcPr>
            <w:tcW w:w="4655" w:type="dxa"/>
          </w:tcPr>
          <w:p w14:paraId="385A26CE" w14:textId="77777777" w:rsidR="003B3C67" w:rsidRDefault="003B3C67" w:rsidP="003B3C67">
            <w:pPr>
              <w:spacing w:before="0" w:after="0"/>
              <w:rPr>
                <w:rFonts w:cs="Arial"/>
              </w:rPr>
            </w:pPr>
          </w:p>
        </w:tc>
      </w:tr>
    </w:tbl>
    <w:p w14:paraId="1F3120E2" w14:textId="77777777" w:rsidR="00D617CA" w:rsidRPr="00D617CA" w:rsidRDefault="00D617CA" w:rsidP="00D617CA">
      <w:pPr>
        <w:keepNext/>
        <w:keepLines/>
        <w:outlineLvl w:val="0"/>
        <w:rPr>
          <w:rFonts w:eastAsiaTheme="majorEastAsia" w:cstheme="majorBidi"/>
          <w:b/>
          <w:bCs/>
          <w:sz w:val="28"/>
          <w:szCs w:val="28"/>
        </w:rPr>
      </w:pPr>
      <w:r w:rsidRPr="00D617CA">
        <w:rPr>
          <w:rFonts w:eastAsiaTheme="majorEastAsia" w:cstheme="majorBidi"/>
          <w:b/>
          <w:bCs/>
          <w:sz w:val="28"/>
          <w:szCs w:val="28"/>
        </w:rPr>
        <w:t>Policy Statement and Rationale:</w:t>
      </w:r>
    </w:p>
    <w:p w14:paraId="3AC73DDE" w14:textId="3DEC2E35" w:rsidR="00D617CA" w:rsidRPr="00D617CA" w:rsidRDefault="00D617CA" w:rsidP="00D617CA">
      <w:pPr>
        <w:overflowPunct w:val="0"/>
        <w:autoSpaceDE w:val="0"/>
        <w:autoSpaceDN w:val="0"/>
        <w:adjustRightInd w:val="0"/>
        <w:spacing w:before="0" w:after="0"/>
        <w:textAlignment w:val="baseline"/>
      </w:pPr>
      <w:r w:rsidRPr="00D617CA">
        <w:t xml:space="preserve">The City of Kawartha Lakes adopts the methodology contained herein to objectively evaluate and define </w:t>
      </w:r>
      <w:r w:rsidR="00D9408B">
        <w:t>roadway classification based on Ontario regulation 239/</w:t>
      </w:r>
      <w:proofErr w:type="gramStart"/>
      <w:r w:rsidR="00D9408B">
        <w:t>02.</w:t>
      </w:r>
      <w:r w:rsidRPr="00D617CA">
        <w:t>.</w:t>
      </w:r>
      <w:proofErr w:type="gramEnd"/>
    </w:p>
    <w:p w14:paraId="089D373B" w14:textId="77777777" w:rsidR="00D617CA" w:rsidRPr="00D617CA" w:rsidRDefault="00D617CA" w:rsidP="00D617CA">
      <w:pPr>
        <w:keepNext/>
        <w:keepLines/>
        <w:outlineLvl w:val="0"/>
        <w:rPr>
          <w:rFonts w:eastAsiaTheme="majorEastAsia" w:cstheme="majorBidi"/>
          <w:b/>
          <w:bCs/>
          <w:sz w:val="28"/>
          <w:szCs w:val="28"/>
        </w:rPr>
      </w:pPr>
      <w:r w:rsidRPr="00D617CA">
        <w:rPr>
          <w:rFonts w:eastAsiaTheme="majorEastAsia" w:cstheme="majorBidi"/>
          <w:b/>
          <w:bCs/>
          <w:sz w:val="28"/>
          <w:szCs w:val="28"/>
        </w:rPr>
        <w:t>Scope:</w:t>
      </w:r>
    </w:p>
    <w:p w14:paraId="125C9426" w14:textId="77777777" w:rsidR="00D617CA" w:rsidRPr="00D617CA" w:rsidRDefault="00D617CA" w:rsidP="00D617CA">
      <w:pPr>
        <w:overflowPunct w:val="0"/>
        <w:autoSpaceDE w:val="0"/>
        <w:autoSpaceDN w:val="0"/>
        <w:adjustRightInd w:val="0"/>
        <w:spacing w:before="0" w:after="0"/>
        <w:textAlignment w:val="baseline"/>
      </w:pPr>
      <w:r w:rsidRPr="00D617CA">
        <w:t>This policy applies to all roadways assumed and maintained as public roadways in the City of Kawartha Lakes.</w:t>
      </w:r>
    </w:p>
    <w:p w14:paraId="04AC34C0" w14:textId="77777777" w:rsidR="00D617CA" w:rsidRPr="00D617CA" w:rsidRDefault="00D617CA" w:rsidP="00D617CA">
      <w:pPr>
        <w:keepNext/>
        <w:keepLines/>
        <w:outlineLvl w:val="0"/>
        <w:rPr>
          <w:rFonts w:eastAsiaTheme="majorEastAsia" w:cstheme="majorBidi"/>
          <w:b/>
          <w:bCs/>
          <w:sz w:val="28"/>
          <w:szCs w:val="28"/>
        </w:rPr>
      </w:pPr>
      <w:r w:rsidRPr="00D617CA">
        <w:rPr>
          <w:rFonts w:eastAsiaTheme="majorEastAsia" w:cstheme="majorBidi"/>
          <w:b/>
          <w:bCs/>
          <w:sz w:val="28"/>
          <w:szCs w:val="28"/>
        </w:rPr>
        <w:t>Definitions:</w:t>
      </w:r>
    </w:p>
    <w:p w14:paraId="5D704D0A" w14:textId="77777777" w:rsidR="00D617CA" w:rsidRPr="00D617CA" w:rsidRDefault="00D617CA" w:rsidP="00D617CA">
      <w:pPr>
        <w:tabs>
          <w:tab w:val="left" w:pos="900"/>
        </w:tabs>
        <w:overflowPunct w:val="0"/>
        <w:autoSpaceDE w:val="0"/>
        <w:autoSpaceDN w:val="0"/>
        <w:adjustRightInd w:val="0"/>
        <w:textAlignment w:val="baseline"/>
        <w:rPr>
          <w:bCs/>
        </w:rPr>
      </w:pPr>
      <w:r w:rsidRPr="00D617CA">
        <w:rPr>
          <w:b/>
          <w:bCs/>
        </w:rPr>
        <w:t>AADT</w:t>
      </w:r>
      <w:r w:rsidRPr="00D617CA">
        <w:rPr>
          <w:bCs/>
        </w:rPr>
        <w:tab/>
        <w:t xml:space="preserve">Average Annual Daily Traffic is a technical measurement of traffic volume on a road, in both directions. Conversion factors, which vary depending on time of year and week, extrapolate daily traffic counts into AADT. (See seasonal.) </w:t>
      </w:r>
    </w:p>
    <w:p w14:paraId="384867AD" w14:textId="77777777" w:rsidR="00D617CA" w:rsidRPr="00D617CA" w:rsidRDefault="00D617CA" w:rsidP="00D617CA">
      <w:pPr>
        <w:tabs>
          <w:tab w:val="left" w:pos="900"/>
        </w:tabs>
        <w:overflowPunct w:val="0"/>
        <w:autoSpaceDE w:val="0"/>
        <w:autoSpaceDN w:val="0"/>
        <w:adjustRightInd w:val="0"/>
        <w:spacing w:before="0" w:after="0"/>
        <w:textAlignment w:val="baseline"/>
        <w:rPr>
          <w:bCs/>
        </w:rPr>
      </w:pPr>
      <w:r w:rsidRPr="00D617CA">
        <w:rPr>
          <w:b/>
          <w:bCs/>
        </w:rPr>
        <w:t>Class</w:t>
      </w:r>
      <w:r w:rsidRPr="00D617CA">
        <w:rPr>
          <w:bCs/>
        </w:rPr>
        <w:tab/>
        <w:t>in the context of these standards refers to the criteria for classifying roadways developed in the preamble to the standards.</w:t>
      </w:r>
    </w:p>
    <w:p w14:paraId="4CBE3907" w14:textId="77777777" w:rsidR="00D617CA" w:rsidRPr="00D617CA" w:rsidRDefault="00D617CA" w:rsidP="00D617CA">
      <w:pPr>
        <w:tabs>
          <w:tab w:val="left" w:pos="2700"/>
        </w:tabs>
        <w:overflowPunct w:val="0"/>
        <w:autoSpaceDE w:val="0"/>
        <w:autoSpaceDN w:val="0"/>
        <w:adjustRightInd w:val="0"/>
        <w:textAlignment w:val="baseline"/>
        <w:rPr>
          <w:bCs/>
        </w:rPr>
      </w:pPr>
      <w:r w:rsidRPr="00D617CA">
        <w:rPr>
          <w:b/>
          <w:bCs/>
        </w:rPr>
        <w:t>Right Of Way</w:t>
      </w:r>
      <w:r w:rsidRPr="00D617CA">
        <w:rPr>
          <w:bCs/>
        </w:rPr>
        <w:t xml:space="preserve"> (R.O.W.)</w:t>
      </w:r>
      <w:r w:rsidRPr="00D617CA">
        <w:rPr>
          <w:bCs/>
        </w:rPr>
        <w:tab/>
        <w:t xml:space="preserve">describes the corridor of land reserved for roadway improvements and under the jurisdiction of the roadway authority. Certain rights of way infer a </w:t>
      </w:r>
      <w:proofErr w:type="spellStart"/>
      <w:r w:rsidRPr="00D617CA">
        <w:rPr>
          <w:bCs/>
        </w:rPr>
        <w:t>right</w:t>
      </w:r>
      <w:proofErr w:type="spellEnd"/>
      <w:r w:rsidRPr="00D617CA">
        <w:rPr>
          <w:bCs/>
        </w:rPr>
        <w:t xml:space="preserve"> of passage to the public. However, in the context of these standards, only </w:t>
      </w:r>
      <w:r w:rsidRPr="00D617CA">
        <w:rPr>
          <w:bCs/>
        </w:rPr>
        <w:lastRenderedPageBreak/>
        <w:t>rights of way with assumed public roadways are considered. Rights of way solely for non-vehicular traffic are not addressed in these standards (e.g. Pedestrian, equestrian, bicycle).</w:t>
      </w:r>
    </w:p>
    <w:p w14:paraId="389EB1F0" w14:textId="77777777" w:rsidR="00D617CA" w:rsidRPr="00D617CA" w:rsidRDefault="00D617CA" w:rsidP="00D617CA">
      <w:pPr>
        <w:tabs>
          <w:tab w:val="left" w:pos="810"/>
        </w:tabs>
        <w:overflowPunct w:val="0"/>
        <w:autoSpaceDE w:val="0"/>
        <w:autoSpaceDN w:val="0"/>
        <w:adjustRightInd w:val="0"/>
        <w:textAlignment w:val="baseline"/>
        <w:rPr>
          <w:bCs/>
        </w:rPr>
      </w:pPr>
      <w:r w:rsidRPr="00D617CA">
        <w:rPr>
          <w:b/>
          <w:bCs/>
        </w:rPr>
        <w:t>Road</w:t>
      </w:r>
      <w:r w:rsidRPr="00D617CA">
        <w:rPr>
          <w:bCs/>
        </w:rPr>
        <w:tab/>
        <w:t>refers specifically to the traveled road surface on a roadway assumed by a roadway authority, but not including on-street parking or stopping zones.</w:t>
      </w:r>
    </w:p>
    <w:p w14:paraId="3B1D0959" w14:textId="77777777" w:rsidR="00D617CA" w:rsidRPr="00D617CA" w:rsidRDefault="00D617CA" w:rsidP="00D617CA">
      <w:pPr>
        <w:tabs>
          <w:tab w:val="left" w:pos="1260"/>
        </w:tabs>
        <w:overflowPunct w:val="0"/>
        <w:autoSpaceDE w:val="0"/>
        <w:autoSpaceDN w:val="0"/>
        <w:adjustRightInd w:val="0"/>
        <w:spacing w:before="0"/>
        <w:textAlignment w:val="baseline"/>
        <w:rPr>
          <w:bCs/>
        </w:rPr>
      </w:pPr>
      <w:r w:rsidRPr="00D617CA">
        <w:rPr>
          <w:b/>
          <w:bCs/>
        </w:rPr>
        <w:t>Roadside</w:t>
      </w:r>
      <w:r w:rsidRPr="00D617CA">
        <w:rPr>
          <w:bCs/>
        </w:rPr>
        <w:tab/>
        <w:t>refers to all the features that make up the roadway, except for the road surface itself.</w:t>
      </w:r>
    </w:p>
    <w:p w14:paraId="63FC67E8" w14:textId="77777777" w:rsidR="00D617CA" w:rsidRPr="00D617CA" w:rsidRDefault="00D617CA" w:rsidP="00D617CA">
      <w:pPr>
        <w:tabs>
          <w:tab w:val="left" w:pos="1260"/>
        </w:tabs>
        <w:overflowPunct w:val="0"/>
        <w:autoSpaceDE w:val="0"/>
        <w:autoSpaceDN w:val="0"/>
        <w:adjustRightInd w:val="0"/>
        <w:spacing w:before="0" w:after="0"/>
        <w:textAlignment w:val="baseline"/>
        <w:rPr>
          <w:bCs/>
        </w:rPr>
      </w:pPr>
      <w:r w:rsidRPr="00D617CA">
        <w:rPr>
          <w:b/>
          <w:bCs/>
        </w:rPr>
        <w:t>Roadway</w:t>
      </w:r>
      <w:r w:rsidRPr="00D617CA">
        <w:rPr>
          <w:bCs/>
        </w:rPr>
        <w:tab/>
        <w:t>in the context of these standards means any public assumed road right of way, intended for vehicular traffic. It refers not only to the traveled road surface, but to all services relevant to the road, within the right of way.</w:t>
      </w:r>
    </w:p>
    <w:p w14:paraId="652B218C" w14:textId="77777777" w:rsidR="00D617CA" w:rsidRPr="00D617CA" w:rsidRDefault="00D617CA" w:rsidP="00D617CA">
      <w:pPr>
        <w:tabs>
          <w:tab w:val="left" w:pos="3240"/>
        </w:tabs>
        <w:overflowPunct w:val="0"/>
        <w:autoSpaceDE w:val="0"/>
        <w:autoSpaceDN w:val="0"/>
        <w:adjustRightInd w:val="0"/>
        <w:spacing w:before="0"/>
        <w:textAlignment w:val="baseline"/>
        <w:rPr>
          <w:bCs/>
        </w:rPr>
      </w:pPr>
      <w:r w:rsidRPr="00D617CA">
        <w:rPr>
          <w:bCs/>
        </w:rPr>
        <w:tab/>
        <w:t>Roadway = road + roadside</w:t>
      </w:r>
    </w:p>
    <w:p w14:paraId="42B2D1C6" w14:textId="77777777" w:rsidR="00D617CA" w:rsidRPr="00D617CA" w:rsidRDefault="00D617CA" w:rsidP="00D617CA">
      <w:pPr>
        <w:tabs>
          <w:tab w:val="left" w:pos="2430"/>
        </w:tabs>
        <w:overflowPunct w:val="0"/>
        <w:autoSpaceDE w:val="0"/>
        <w:autoSpaceDN w:val="0"/>
        <w:adjustRightInd w:val="0"/>
        <w:textAlignment w:val="baseline"/>
        <w:rPr>
          <w:bCs/>
        </w:rPr>
      </w:pPr>
      <w:r w:rsidRPr="00D617CA">
        <w:rPr>
          <w:b/>
          <w:bCs/>
        </w:rPr>
        <w:t>Roadway Authority</w:t>
      </w:r>
      <w:r w:rsidRPr="00D617CA">
        <w:rPr>
          <w:bCs/>
        </w:rPr>
        <w:tab/>
        <w:t>indicates the public agency accountable for the status and condition of the roadway. This refers to the Corporation of the City of Kawartha Lakes and its designated officials or agents.</w:t>
      </w:r>
    </w:p>
    <w:p w14:paraId="61267191" w14:textId="77777777" w:rsidR="00D617CA" w:rsidRPr="00D617CA" w:rsidRDefault="00D617CA" w:rsidP="00D617CA">
      <w:pPr>
        <w:tabs>
          <w:tab w:val="left" w:pos="1080"/>
        </w:tabs>
        <w:overflowPunct w:val="0"/>
        <w:autoSpaceDE w:val="0"/>
        <w:autoSpaceDN w:val="0"/>
        <w:adjustRightInd w:val="0"/>
        <w:textAlignment w:val="baseline"/>
        <w:rPr>
          <w:bCs/>
        </w:rPr>
      </w:pPr>
      <w:r w:rsidRPr="00D617CA">
        <w:rPr>
          <w:b/>
          <w:bCs/>
        </w:rPr>
        <w:t>Section</w:t>
      </w:r>
      <w:r w:rsidRPr="00D617CA">
        <w:rPr>
          <w:bCs/>
        </w:rPr>
        <w:tab/>
        <w:t>refers to a portion of roadway with a distinct classification, and homogeneous character.</w:t>
      </w:r>
    </w:p>
    <w:p w14:paraId="1ADFC34F" w14:textId="77777777" w:rsidR="00D617CA" w:rsidRPr="00D617CA" w:rsidRDefault="00D617CA" w:rsidP="00D617CA">
      <w:pPr>
        <w:tabs>
          <w:tab w:val="left" w:pos="1080"/>
        </w:tabs>
        <w:overflowPunct w:val="0"/>
        <w:autoSpaceDE w:val="0"/>
        <w:autoSpaceDN w:val="0"/>
        <w:adjustRightInd w:val="0"/>
        <w:textAlignment w:val="baseline"/>
        <w:rPr>
          <w:bCs/>
        </w:rPr>
      </w:pPr>
      <w:r w:rsidRPr="00D617CA">
        <w:rPr>
          <w:b/>
          <w:bCs/>
        </w:rPr>
        <w:t>Service</w:t>
      </w:r>
      <w:r w:rsidRPr="00D617CA">
        <w:rPr>
          <w:bCs/>
        </w:rPr>
        <w:tab/>
        <w:t>in the context of these standards, “service” refers aspects of a roadway and their condition. Services are seen from the perspective of the user.</w:t>
      </w:r>
    </w:p>
    <w:p w14:paraId="15547C4D" w14:textId="77777777" w:rsidR="00D617CA" w:rsidRPr="00D617CA" w:rsidRDefault="00D617CA" w:rsidP="00D617CA">
      <w:pPr>
        <w:tabs>
          <w:tab w:val="left" w:pos="2520"/>
        </w:tabs>
        <w:overflowPunct w:val="0"/>
        <w:autoSpaceDE w:val="0"/>
        <w:autoSpaceDN w:val="0"/>
        <w:adjustRightInd w:val="0"/>
        <w:textAlignment w:val="baseline"/>
        <w:rPr>
          <w:bCs/>
        </w:rPr>
      </w:pPr>
      <w:r w:rsidRPr="00D617CA">
        <w:rPr>
          <w:b/>
          <w:bCs/>
        </w:rPr>
        <w:t>Service Level Matrix</w:t>
      </w:r>
      <w:r w:rsidRPr="00D617CA">
        <w:rPr>
          <w:bCs/>
        </w:rPr>
        <w:tab/>
        <w:t>the chart in the standard that specifically defines the service level according to class of roadway.</w:t>
      </w:r>
    </w:p>
    <w:p w14:paraId="65315E34" w14:textId="77777777" w:rsidR="00D617CA" w:rsidRPr="00D617CA" w:rsidRDefault="00D617CA" w:rsidP="00D617CA">
      <w:pPr>
        <w:tabs>
          <w:tab w:val="left" w:pos="1890"/>
        </w:tabs>
        <w:overflowPunct w:val="0"/>
        <w:autoSpaceDE w:val="0"/>
        <w:autoSpaceDN w:val="0"/>
        <w:adjustRightInd w:val="0"/>
        <w:textAlignment w:val="baseline"/>
        <w:rPr>
          <w:bCs/>
        </w:rPr>
      </w:pPr>
      <w:r w:rsidRPr="00D617CA">
        <w:rPr>
          <w:b/>
          <w:bCs/>
        </w:rPr>
        <w:t>Service Levels</w:t>
      </w:r>
      <w:r w:rsidRPr="00D617CA">
        <w:rPr>
          <w:bCs/>
        </w:rPr>
        <w:tab/>
        <w:t>a range of values that quantify a particular service standard, by one or more parameters, across a range of roadway classifications. Service levels typically reflect a maximum, minimum or desirable.</w:t>
      </w:r>
    </w:p>
    <w:p w14:paraId="31F7CEA1" w14:textId="77777777" w:rsidR="00D617CA" w:rsidRPr="00D617CA" w:rsidRDefault="00D617CA" w:rsidP="00D617CA">
      <w:pPr>
        <w:tabs>
          <w:tab w:val="left" w:pos="990"/>
        </w:tabs>
        <w:overflowPunct w:val="0"/>
        <w:autoSpaceDE w:val="0"/>
        <w:autoSpaceDN w:val="0"/>
        <w:adjustRightInd w:val="0"/>
        <w:spacing w:before="0" w:after="0"/>
        <w:textAlignment w:val="baseline"/>
        <w:rPr>
          <w:bCs/>
        </w:rPr>
      </w:pPr>
      <w:r w:rsidRPr="00D617CA">
        <w:rPr>
          <w:b/>
          <w:bCs/>
        </w:rPr>
        <w:t>Speed</w:t>
      </w:r>
      <w:r w:rsidRPr="00D617CA">
        <w:rPr>
          <w:bCs/>
        </w:rPr>
        <w:tab/>
        <w:t>in the context of this policy refers to the legal speed limit for the roadway. The speed limit need not be posted with a sign to be valid.</w:t>
      </w:r>
    </w:p>
    <w:p w14:paraId="0ABEB2E2" w14:textId="77777777" w:rsidR="00D617CA" w:rsidRPr="00D617CA" w:rsidRDefault="00D617CA" w:rsidP="00D617CA">
      <w:pPr>
        <w:keepNext/>
        <w:keepLines/>
        <w:outlineLvl w:val="0"/>
        <w:rPr>
          <w:rFonts w:eastAsiaTheme="majorEastAsia" w:cstheme="majorBidi"/>
          <w:b/>
          <w:bCs/>
          <w:sz w:val="28"/>
          <w:szCs w:val="28"/>
        </w:rPr>
      </w:pPr>
      <w:r w:rsidRPr="00D617CA">
        <w:rPr>
          <w:rFonts w:eastAsiaTheme="majorEastAsia" w:cstheme="majorBidi"/>
          <w:b/>
          <w:bCs/>
          <w:sz w:val="28"/>
          <w:szCs w:val="28"/>
        </w:rPr>
        <w:t>Policy:</w:t>
      </w:r>
    </w:p>
    <w:p w14:paraId="50E14B03" w14:textId="77777777" w:rsidR="00D617CA" w:rsidRPr="00D617CA" w:rsidRDefault="00D617CA" w:rsidP="00D617CA">
      <w:pPr>
        <w:numPr>
          <w:ilvl w:val="0"/>
          <w:numId w:val="1"/>
        </w:numPr>
        <w:overflowPunct w:val="0"/>
        <w:autoSpaceDE w:val="0"/>
        <w:autoSpaceDN w:val="0"/>
        <w:adjustRightInd w:val="0"/>
        <w:spacing w:before="0" w:after="0"/>
        <w:jc w:val="both"/>
        <w:textAlignment w:val="baseline"/>
        <w:rPr>
          <w:b/>
          <w:bCs/>
        </w:rPr>
      </w:pPr>
      <w:r w:rsidRPr="00D617CA">
        <w:rPr>
          <w:b/>
          <w:bCs/>
        </w:rPr>
        <w:t>Maintenance Priority Classes</w:t>
      </w:r>
    </w:p>
    <w:p w14:paraId="6E0793CB" w14:textId="77777777" w:rsidR="00D617CA" w:rsidRPr="00D617CA" w:rsidRDefault="00D617CA" w:rsidP="00D617CA">
      <w:pPr>
        <w:overflowPunct w:val="0"/>
        <w:autoSpaceDE w:val="0"/>
        <w:autoSpaceDN w:val="0"/>
        <w:adjustRightInd w:val="0"/>
        <w:spacing w:before="0" w:after="0"/>
        <w:ind w:left="720"/>
        <w:textAlignment w:val="baseline"/>
        <w:rPr>
          <w:bCs/>
        </w:rPr>
      </w:pPr>
      <w:r w:rsidRPr="00D617CA">
        <w:rPr>
          <w:bCs/>
        </w:rPr>
        <w:t>Priority for roadway maintenance services shall be according to roadway class as defined by Table 1 below.</w:t>
      </w:r>
      <w:r w:rsidR="00D9408B">
        <w:rPr>
          <w:bCs/>
        </w:rPr>
        <w:t xml:space="preserve"> This table is referenced from Ontario Regulation 239/02 Minimum </w:t>
      </w:r>
      <w:r w:rsidR="005C7AA1">
        <w:rPr>
          <w:bCs/>
        </w:rPr>
        <w:t>Maintenance</w:t>
      </w:r>
      <w:r w:rsidR="00D9408B">
        <w:rPr>
          <w:bCs/>
        </w:rPr>
        <w:t xml:space="preserve"> Standards for Municipal Highways.</w:t>
      </w:r>
    </w:p>
    <w:p w14:paraId="25872876" w14:textId="77777777" w:rsidR="00300C5A" w:rsidRDefault="00300C5A">
      <w:pPr>
        <w:spacing w:before="0" w:after="200" w:line="276" w:lineRule="auto"/>
        <w:rPr>
          <w:b/>
          <w:bCs/>
          <w:sz w:val="22"/>
          <w:szCs w:val="20"/>
        </w:rPr>
      </w:pPr>
      <w:r>
        <w:rPr>
          <w:b/>
          <w:bCs/>
          <w:sz w:val="22"/>
          <w:szCs w:val="20"/>
        </w:rPr>
        <w:br w:type="page"/>
      </w:r>
    </w:p>
    <w:p w14:paraId="5B9149C3" w14:textId="110C723C" w:rsidR="00D617CA" w:rsidRDefault="00D617CA" w:rsidP="00D617CA">
      <w:pPr>
        <w:overflowPunct w:val="0"/>
        <w:autoSpaceDE w:val="0"/>
        <w:autoSpaceDN w:val="0"/>
        <w:adjustRightInd w:val="0"/>
        <w:spacing w:before="0" w:after="0"/>
        <w:ind w:firstLine="720"/>
        <w:jc w:val="both"/>
        <w:textAlignment w:val="baseline"/>
        <w:rPr>
          <w:bCs/>
          <w:sz w:val="22"/>
          <w:szCs w:val="20"/>
        </w:rPr>
      </w:pPr>
      <w:r w:rsidRPr="00D617CA">
        <w:rPr>
          <w:b/>
          <w:bCs/>
          <w:sz w:val="22"/>
          <w:szCs w:val="20"/>
        </w:rPr>
        <w:lastRenderedPageBreak/>
        <w:t>Table 1 – Roadway Classes</w:t>
      </w:r>
      <w:r w:rsidRPr="00D617CA">
        <w:rPr>
          <w:bCs/>
          <w:sz w:val="22"/>
          <w:szCs w:val="20"/>
        </w:rPr>
        <w:t xml:space="preserve"> </w:t>
      </w:r>
    </w:p>
    <w:p w14:paraId="6FC79607" w14:textId="77777777" w:rsidR="00D9408B" w:rsidRPr="009D3270" w:rsidRDefault="00D9408B" w:rsidP="00D9408B">
      <w:pPr>
        <w:pStyle w:val="headingx-e"/>
      </w:pPr>
      <w:r>
        <w:t>TABLE</w:t>
      </w:r>
      <w:r>
        <w:br/>
        <w:t>CLASSIFICATION OF HIGHWAYS</w:t>
      </w:r>
    </w:p>
    <w:tbl>
      <w:tblPr>
        <w:tblW w:w="1008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2400"/>
        <w:gridCol w:w="1320"/>
        <w:gridCol w:w="1080"/>
        <w:gridCol w:w="1080"/>
        <w:gridCol w:w="1080"/>
        <w:gridCol w:w="960"/>
        <w:gridCol w:w="1080"/>
        <w:gridCol w:w="1080"/>
      </w:tblGrid>
      <w:tr w:rsidR="00D9408B" w14:paraId="20454CD8" w14:textId="77777777" w:rsidTr="00BD5746">
        <w:tc>
          <w:tcPr>
            <w:tcW w:w="2400" w:type="dxa"/>
            <w:tcMar>
              <w:left w:w="60" w:type="dxa"/>
              <w:right w:w="60" w:type="dxa"/>
            </w:tcMar>
          </w:tcPr>
          <w:p w14:paraId="56D382BA" w14:textId="77777777" w:rsidR="00D9408B" w:rsidRDefault="00D9408B" w:rsidP="00BD5746">
            <w:pPr>
              <w:pStyle w:val="table-e"/>
            </w:pPr>
            <w:r>
              <w:t>Column 1</w:t>
            </w:r>
          </w:p>
          <w:p w14:paraId="0B4B00E6" w14:textId="77777777" w:rsidR="00D9408B" w:rsidRDefault="00D9408B" w:rsidP="00BD5746">
            <w:pPr>
              <w:pStyle w:val="table-e"/>
            </w:pPr>
            <w:r>
              <w:t>Average Daily Traffic (number of motor vehicles)</w:t>
            </w:r>
          </w:p>
        </w:tc>
        <w:tc>
          <w:tcPr>
            <w:tcW w:w="1320" w:type="dxa"/>
            <w:tcMar>
              <w:left w:w="60" w:type="dxa"/>
              <w:right w:w="60" w:type="dxa"/>
            </w:tcMar>
          </w:tcPr>
          <w:p w14:paraId="576E3D89" w14:textId="77777777" w:rsidR="00D9408B" w:rsidRDefault="00D9408B" w:rsidP="00BD5746">
            <w:pPr>
              <w:pStyle w:val="table-e"/>
            </w:pPr>
            <w:r>
              <w:t>Column 2</w:t>
            </w:r>
          </w:p>
          <w:p w14:paraId="3B3BA3A3" w14:textId="77777777" w:rsidR="00D9408B" w:rsidRDefault="00D9408B" w:rsidP="00BD5746">
            <w:pPr>
              <w:pStyle w:val="table-e"/>
            </w:pPr>
            <w:r>
              <w:t>91 - 100 km/h speed limit</w:t>
            </w:r>
          </w:p>
        </w:tc>
        <w:tc>
          <w:tcPr>
            <w:tcW w:w="1080" w:type="dxa"/>
            <w:tcMar>
              <w:left w:w="60" w:type="dxa"/>
              <w:right w:w="60" w:type="dxa"/>
            </w:tcMar>
          </w:tcPr>
          <w:p w14:paraId="7A016925" w14:textId="77777777" w:rsidR="00D9408B" w:rsidRDefault="00D9408B" w:rsidP="00BD5746">
            <w:pPr>
              <w:pStyle w:val="table-e"/>
            </w:pPr>
            <w:r>
              <w:t>Column 3</w:t>
            </w:r>
          </w:p>
          <w:p w14:paraId="232BB4D7" w14:textId="77777777" w:rsidR="00D9408B" w:rsidRDefault="00D9408B" w:rsidP="00BD5746">
            <w:pPr>
              <w:pStyle w:val="table-e"/>
            </w:pPr>
            <w:r>
              <w:t>81 - 90 km/h speed limit</w:t>
            </w:r>
          </w:p>
        </w:tc>
        <w:tc>
          <w:tcPr>
            <w:tcW w:w="1080" w:type="dxa"/>
            <w:tcMar>
              <w:left w:w="60" w:type="dxa"/>
              <w:right w:w="60" w:type="dxa"/>
            </w:tcMar>
          </w:tcPr>
          <w:p w14:paraId="5EC57472" w14:textId="77777777" w:rsidR="00D9408B" w:rsidRDefault="00D9408B" w:rsidP="00BD5746">
            <w:pPr>
              <w:pStyle w:val="table-e"/>
            </w:pPr>
            <w:r>
              <w:t>Column 4</w:t>
            </w:r>
          </w:p>
          <w:p w14:paraId="5811192C" w14:textId="77777777" w:rsidR="00D9408B" w:rsidRDefault="00D9408B" w:rsidP="00BD5746">
            <w:pPr>
              <w:pStyle w:val="table-e"/>
            </w:pPr>
            <w:r>
              <w:t>71 - 80 km/h speed limit</w:t>
            </w:r>
          </w:p>
        </w:tc>
        <w:tc>
          <w:tcPr>
            <w:tcW w:w="1080" w:type="dxa"/>
            <w:tcMar>
              <w:left w:w="60" w:type="dxa"/>
              <w:right w:w="60" w:type="dxa"/>
            </w:tcMar>
          </w:tcPr>
          <w:p w14:paraId="22FF8C12" w14:textId="77777777" w:rsidR="00D9408B" w:rsidRDefault="00D9408B" w:rsidP="00BD5746">
            <w:pPr>
              <w:pStyle w:val="table-e"/>
            </w:pPr>
            <w:r>
              <w:t>Column 5</w:t>
            </w:r>
          </w:p>
          <w:p w14:paraId="40AD5546" w14:textId="77777777" w:rsidR="00D9408B" w:rsidRDefault="00D9408B" w:rsidP="00BD5746">
            <w:pPr>
              <w:pStyle w:val="table-e"/>
            </w:pPr>
            <w:r>
              <w:t>61 - 70 km/h speed limit</w:t>
            </w:r>
          </w:p>
        </w:tc>
        <w:tc>
          <w:tcPr>
            <w:tcW w:w="960" w:type="dxa"/>
            <w:tcMar>
              <w:left w:w="60" w:type="dxa"/>
              <w:right w:w="60" w:type="dxa"/>
            </w:tcMar>
          </w:tcPr>
          <w:p w14:paraId="54AD23E3" w14:textId="77777777" w:rsidR="00D9408B" w:rsidRDefault="00D9408B" w:rsidP="00BD5746">
            <w:pPr>
              <w:pStyle w:val="table-e"/>
            </w:pPr>
            <w:r>
              <w:t>Column 6</w:t>
            </w:r>
          </w:p>
          <w:p w14:paraId="1146A3EB" w14:textId="77777777" w:rsidR="00D9408B" w:rsidRDefault="00D9408B" w:rsidP="00BD5746">
            <w:pPr>
              <w:pStyle w:val="table-e"/>
            </w:pPr>
            <w:r>
              <w:t>51 - 60 km/h speed limit</w:t>
            </w:r>
          </w:p>
        </w:tc>
        <w:tc>
          <w:tcPr>
            <w:tcW w:w="1080" w:type="dxa"/>
            <w:tcMar>
              <w:left w:w="60" w:type="dxa"/>
              <w:right w:w="60" w:type="dxa"/>
            </w:tcMar>
          </w:tcPr>
          <w:p w14:paraId="5E0B29CA" w14:textId="77777777" w:rsidR="00D9408B" w:rsidRDefault="00D9408B" w:rsidP="00BD5746">
            <w:pPr>
              <w:pStyle w:val="table-e"/>
            </w:pPr>
            <w:r>
              <w:t>Column 7</w:t>
            </w:r>
          </w:p>
          <w:p w14:paraId="6D4F05CB" w14:textId="77777777" w:rsidR="00D9408B" w:rsidRDefault="00D9408B" w:rsidP="00BD5746">
            <w:pPr>
              <w:pStyle w:val="table-e"/>
            </w:pPr>
            <w:r>
              <w:t>41 - 50 km/h speed limit</w:t>
            </w:r>
          </w:p>
        </w:tc>
        <w:tc>
          <w:tcPr>
            <w:tcW w:w="1080" w:type="dxa"/>
            <w:tcMar>
              <w:left w:w="60" w:type="dxa"/>
              <w:right w:w="60" w:type="dxa"/>
            </w:tcMar>
          </w:tcPr>
          <w:p w14:paraId="0B9E2DAB" w14:textId="77777777" w:rsidR="00D9408B" w:rsidRDefault="00D9408B" w:rsidP="00BD5746">
            <w:pPr>
              <w:pStyle w:val="table-e"/>
            </w:pPr>
            <w:r>
              <w:t>Column 8</w:t>
            </w:r>
          </w:p>
          <w:p w14:paraId="4E4AA268" w14:textId="77777777" w:rsidR="00D9408B" w:rsidRDefault="00D9408B" w:rsidP="00BD5746">
            <w:pPr>
              <w:pStyle w:val="table-e"/>
            </w:pPr>
            <w:r>
              <w:t>1 - 40 km/h speed limit</w:t>
            </w:r>
          </w:p>
        </w:tc>
      </w:tr>
      <w:tr w:rsidR="00D9408B" w14:paraId="61AA07C1" w14:textId="77777777" w:rsidTr="00BD5746">
        <w:tc>
          <w:tcPr>
            <w:tcW w:w="2400" w:type="dxa"/>
            <w:tcMar>
              <w:left w:w="60" w:type="dxa"/>
              <w:right w:w="60" w:type="dxa"/>
            </w:tcMar>
          </w:tcPr>
          <w:p w14:paraId="1DA1C4E0" w14:textId="77777777" w:rsidR="00D9408B" w:rsidRDefault="00D9408B" w:rsidP="00BD5746">
            <w:pPr>
              <w:pStyle w:val="table-e"/>
            </w:pPr>
            <w:r w:rsidRPr="00941AB5">
              <w:t>53,000 or more</w:t>
            </w:r>
          </w:p>
        </w:tc>
        <w:tc>
          <w:tcPr>
            <w:tcW w:w="1320" w:type="dxa"/>
            <w:tcMar>
              <w:left w:w="60" w:type="dxa"/>
              <w:right w:w="60" w:type="dxa"/>
            </w:tcMar>
          </w:tcPr>
          <w:p w14:paraId="620A8703" w14:textId="77777777" w:rsidR="00D9408B" w:rsidRDefault="00D9408B" w:rsidP="00BD5746">
            <w:pPr>
              <w:pStyle w:val="table-e"/>
              <w:jc w:val="right"/>
            </w:pPr>
            <w:r>
              <w:t>1</w:t>
            </w:r>
          </w:p>
        </w:tc>
        <w:tc>
          <w:tcPr>
            <w:tcW w:w="1080" w:type="dxa"/>
            <w:tcMar>
              <w:left w:w="60" w:type="dxa"/>
              <w:right w:w="60" w:type="dxa"/>
            </w:tcMar>
          </w:tcPr>
          <w:p w14:paraId="48EA5C6D" w14:textId="77777777" w:rsidR="00D9408B" w:rsidRDefault="00D9408B" w:rsidP="00BD5746">
            <w:pPr>
              <w:pStyle w:val="table-e"/>
              <w:jc w:val="right"/>
            </w:pPr>
            <w:r>
              <w:t>1</w:t>
            </w:r>
          </w:p>
        </w:tc>
        <w:tc>
          <w:tcPr>
            <w:tcW w:w="1080" w:type="dxa"/>
            <w:tcMar>
              <w:left w:w="60" w:type="dxa"/>
              <w:right w:w="60" w:type="dxa"/>
            </w:tcMar>
          </w:tcPr>
          <w:p w14:paraId="61E88F5F" w14:textId="77777777" w:rsidR="00D9408B" w:rsidRDefault="00D9408B" w:rsidP="00BD5746">
            <w:pPr>
              <w:pStyle w:val="table-e"/>
              <w:jc w:val="right"/>
            </w:pPr>
            <w:r>
              <w:t>1</w:t>
            </w:r>
          </w:p>
        </w:tc>
        <w:tc>
          <w:tcPr>
            <w:tcW w:w="1080" w:type="dxa"/>
            <w:tcMar>
              <w:left w:w="60" w:type="dxa"/>
              <w:right w:w="60" w:type="dxa"/>
            </w:tcMar>
          </w:tcPr>
          <w:p w14:paraId="31D11E2F" w14:textId="77777777" w:rsidR="00D9408B" w:rsidRDefault="00D9408B" w:rsidP="00BD5746">
            <w:pPr>
              <w:pStyle w:val="table-e"/>
              <w:jc w:val="right"/>
            </w:pPr>
            <w:r>
              <w:t>1</w:t>
            </w:r>
          </w:p>
        </w:tc>
        <w:tc>
          <w:tcPr>
            <w:tcW w:w="960" w:type="dxa"/>
            <w:tcMar>
              <w:left w:w="60" w:type="dxa"/>
              <w:right w:w="60" w:type="dxa"/>
            </w:tcMar>
          </w:tcPr>
          <w:p w14:paraId="3E7FAF6A" w14:textId="77777777" w:rsidR="00D9408B" w:rsidRDefault="00D9408B" w:rsidP="00BD5746">
            <w:pPr>
              <w:pStyle w:val="table-e"/>
              <w:jc w:val="right"/>
            </w:pPr>
            <w:r>
              <w:t>1</w:t>
            </w:r>
          </w:p>
        </w:tc>
        <w:tc>
          <w:tcPr>
            <w:tcW w:w="1080" w:type="dxa"/>
            <w:tcMar>
              <w:left w:w="60" w:type="dxa"/>
              <w:right w:w="60" w:type="dxa"/>
            </w:tcMar>
          </w:tcPr>
          <w:p w14:paraId="43795424" w14:textId="77777777" w:rsidR="00D9408B" w:rsidRDefault="00D9408B" w:rsidP="00BD5746">
            <w:pPr>
              <w:pStyle w:val="table-e"/>
              <w:jc w:val="right"/>
            </w:pPr>
            <w:r>
              <w:t>1</w:t>
            </w:r>
          </w:p>
        </w:tc>
        <w:tc>
          <w:tcPr>
            <w:tcW w:w="1080" w:type="dxa"/>
            <w:tcMar>
              <w:left w:w="60" w:type="dxa"/>
              <w:right w:w="60" w:type="dxa"/>
            </w:tcMar>
          </w:tcPr>
          <w:p w14:paraId="209DD2BB" w14:textId="77777777" w:rsidR="00D9408B" w:rsidRDefault="00D9408B" w:rsidP="00BD5746">
            <w:pPr>
              <w:pStyle w:val="table-e"/>
              <w:jc w:val="right"/>
            </w:pPr>
            <w:r>
              <w:t>1</w:t>
            </w:r>
          </w:p>
        </w:tc>
      </w:tr>
      <w:tr w:rsidR="00D9408B" w14:paraId="0537AA86" w14:textId="77777777" w:rsidTr="00BD5746">
        <w:tc>
          <w:tcPr>
            <w:tcW w:w="2400" w:type="dxa"/>
            <w:tcMar>
              <w:left w:w="60" w:type="dxa"/>
              <w:right w:w="60" w:type="dxa"/>
            </w:tcMar>
          </w:tcPr>
          <w:p w14:paraId="52F85D51" w14:textId="77777777" w:rsidR="00D9408B" w:rsidRDefault="00D9408B" w:rsidP="00BD5746">
            <w:pPr>
              <w:pStyle w:val="table-e"/>
            </w:pPr>
            <w:r w:rsidRPr="00EC77C3">
              <w:rPr>
                <w:bCs/>
                <w:szCs w:val="18"/>
              </w:rPr>
              <w:t>23,000 - 52,999</w:t>
            </w:r>
          </w:p>
        </w:tc>
        <w:tc>
          <w:tcPr>
            <w:tcW w:w="1320" w:type="dxa"/>
            <w:tcMar>
              <w:left w:w="60" w:type="dxa"/>
              <w:right w:w="60" w:type="dxa"/>
            </w:tcMar>
          </w:tcPr>
          <w:p w14:paraId="1D20BCFA" w14:textId="77777777" w:rsidR="00D9408B" w:rsidRDefault="00D9408B" w:rsidP="00BD5746">
            <w:pPr>
              <w:pStyle w:val="table-e"/>
              <w:jc w:val="right"/>
            </w:pPr>
            <w:r>
              <w:t>1</w:t>
            </w:r>
          </w:p>
        </w:tc>
        <w:tc>
          <w:tcPr>
            <w:tcW w:w="1080" w:type="dxa"/>
            <w:tcMar>
              <w:left w:w="60" w:type="dxa"/>
              <w:right w:w="60" w:type="dxa"/>
            </w:tcMar>
          </w:tcPr>
          <w:p w14:paraId="0BFE806A" w14:textId="77777777" w:rsidR="00D9408B" w:rsidRDefault="00D9408B" w:rsidP="00BD5746">
            <w:pPr>
              <w:pStyle w:val="table-e"/>
              <w:jc w:val="right"/>
            </w:pPr>
            <w:r>
              <w:t>1</w:t>
            </w:r>
          </w:p>
        </w:tc>
        <w:tc>
          <w:tcPr>
            <w:tcW w:w="1080" w:type="dxa"/>
            <w:tcMar>
              <w:left w:w="60" w:type="dxa"/>
              <w:right w:w="60" w:type="dxa"/>
            </w:tcMar>
          </w:tcPr>
          <w:p w14:paraId="3D9121D3" w14:textId="77777777" w:rsidR="00D9408B" w:rsidRDefault="00D9408B" w:rsidP="00BD5746">
            <w:pPr>
              <w:pStyle w:val="table-e"/>
              <w:jc w:val="right"/>
            </w:pPr>
            <w:r>
              <w:t>1</w:t>
            </w:r>
          </w:p>
        </w:tc>
        <w:tc>
          <w:tcPr>
            <w:tcW w:w="1080" w:type="dxa"/>
            <w:tcMar>
              <w:left w:w="60" w:type="dxa"/>
              <w:right w:w="60" w:type="dxa"/>
            </w:tcMar>
          </w:tcPr>
          <w:p w14:paraId="03CB61CA" w14:textId="77777777" w:rsidR="00D9408B" w:rsidRDefault="00D9408B" w:rsidP="00BD5746">
            <w:pPr>
              <w:pStyle w:val="table-e"/>
              <w:jc w:val="right"/>
            </w:pPr>
            <w:r>
              <w:t>2</w:t>
            </w:r>
          </w:p>
        </w:tc>
        <w:tc>
          <w:tcPr>
            <w:tcW w:w="960" w:type="dxa"/>
            <w:tcMar>
              <w:left w:w="60" w:type="dxa"/>
              <w:right w:w="60" w:type="dxa"/>
            </w:tcMar>
          </w:tcPr>
          <w:p w14:paraId="2C733676" w14:textId="77777777" w:rsidR="00D9408B" w:rsidRDefault="00D9408B" w:rsidP="00BD5746">
            <w:pPr>
              <w:pStyle w:val="table-e"/>
              <w:jc w:val="right"/>
            </w:pPr>
            <w:r>
              <w:t>2</w:t>
            </w:r>
          </w:p>
        </w:tc>
        <w:tc>
          <w:tcPr>
            <w:tcW w:w="1080" w:type="dxa"/>
            <w:tcMar>
              <w:left w:w="60" w:type="dxa"/>
              <w:right w:w="60" w:type="dxa"/>
            </w:tcMar>
          </w:tcPr>
          <w:p w14:paraId="5AFD098F" w14:textId="77777777" w:rsidR="00D9408B" w:rsidRDefault="00D9408B" w:rsidP="00BD5746">
            <w:pPr>
              <w:pStyle w:val="table-e"/>
              <w:jc w:val="right"/>
            </w:pPr>
            <w:r>
              <w:t>2</w:t>
            </w:r>
          </w:p>
        </w:tc>
        <w:tc>
          <w:tcPr>
            <w:tcW w:w="1080" w:type="dxa"/>
            <w:tcMar>
              <w:left w:w="60" w:type="dxa"/>
              <w:right w:w="60" w:type="dxa"/>
            </w:tcMar>
          </w:tcPr>
          <w:p w14:paraId="386491BC" w14:textId="77777777" w:rsidR="00D9408B" w:rsidRDefault="00D9408B" w:rsidP="00BD5746">
            <w:pPr>
              <w:pStyle w:val="table-e"/>
              <w:jc w:val="right"/>
            </w:pPr>
            <w:r>
              <w:t>2</w:t>
            </w:r>
          </w:p>
        </w:tc>
      </w:tr>
      <w:tr w:rsidR="00D9408B" w14:paraId="08B1BA19" w14:textId="77777777" w:rsidTr="00BD5746">
        <w:tc>
          <w:tcPr>
            <w:tcW w:w="2400" w:type="dxa"/>
            <w:tcMar>
              <w:left w:w="60" w:type="dxa"/>
              <w:right w:w="60" w:type="dxa"/>
            </w:tcMar>
          </w:tcPr>
          <w:p w14:paraId="43958642" w14:textId="77777777" w:rsidR="00D9408B" w:rsidRDefault="00D9408B" w:rsidP="00BD5746">
            <w:pPr>
              <w:pStyle w:val="table-e"/>
            </w:pPr>
            <w:r w:rsidRPr="00EC77C3">
              <w:rPr>
                <w:bCs/>
                <w:szCs w:val="18"/>
              </w:rPr>
              <w:t>15,000 - 22,999</w:t>
            </w:r>
          </w:p>
        </w:tc>
        <w:tc>
          <w:tcPr>
            <w:tcW w:w="1320" w:type="dxa"/>
            <w:tcMar>
              <w:left w:w="60" w:type="dxa"/>
              <w:right w:w="60" w:type="dxa"/>
            </w:tcMar>
          </w:tcPr>
          <w:p w14:paraId="5A4C78ED" w14:textId="77777777" w:rsidR="00D9408B" w:rsidRDefault="00D9408B" w:rsidP="00BD5746">
            <w:pPr>
              <w:pStyle w:val="table-e"/>
              <w:jc w:val="right"/>
            </w:pPr>
            <w:r>
              <w:t>1</w:t>
            </w:r>
          </w:p>
        </w:tc>
        <w:tc>
          <w:tcPr>
            <w:tcW w:w="1080" w:type="dxa"/>
            <w:tcMar>
              <w:left w:w="60" w:type="dxa"/>
              <w:right w:w="60" w:type="dxa"/>
            </w:tcMar>
          </w:tcPr>
          <w:p w14:paraId="42C80BF7" w14:textId="77777777" w:rsidR="00D9408B" w:rsidRDefault="00D9408B" w:rsidP="00BD5746">
            <w:pPr>
              <w:pStyle w:val="table-e"/>
              <w:jc w:val="right"/>
            </w:pPr>
            <w:r>
              <w:t>1</w:t>
            </w:r>
          </w:p>
        </w:tc>
        <w:tc>
          <w:tcPr>
            <w:tcW w:w="1080" w:type="dxa"/>
            <w:tcMar>
              <w:left w:w="60" w:type="dxa"/>
              <w:right w:w="60" w:type="dxa"/>
            </w:tcMar>
          </w:tcPr>
          <w:p w14:paraId="0F7FE3D7" w14:textId="77777777" w:rsidR="00D9408B" w:rsidRDefault="00D9408B" w:rsidP="00BD5746">
            <w:pPr>
              <w:pStyle w:val="table-e"/>
              <w:jc w:val="right"/>
            </w:pPr>
            <w:r>
              <w:t>2</w:t>
            </w:r>
          </w:p>
        </w:tc>
        <w:tc>
          <w:tcPr>
            <w:tcW w:w="1080" w:type="dxa"/>
            <w:tcMar>
              <w:left w:w="60" w:type="dxa"/>
              <w:right w:w="60" w:type="dxa"/>
            </w:tcMar>
          </w:tcPr>
          <w:p w14:paraId="3854722B" w14:textId="77777777" w:rsidR="00D9408B" w:rsidRDefault="00D9408B" w:rsidP="00BD5746">
            <w:pPr>
              <w:pStyle w:val="table-e"/>
              <w:jc w:val="right"/>
            </w:pPr>
            <w:r>
              <w:t>2</w:t>
            </w:r>
          </w:p>
        </w:tc>
        <w:tc>
          <w:tcPr>
            <w:tcW w:w="960" w:type="dxa"/>
            <w:tcMar>
              <w:left w:w="60" w:type="dxa"/>
              <w:right w:w="60" w:type="dxa"/>
            </w:tcMar>
          </w:tcPr>
          <w:p w14:paraId="1AACA4E7" w14:textId="77777777" w:rsidR="00D9408B" w:rsidRDefault="00D9408B" w:rsidP="00BD5746">
            <w:pPr>
              <w:pStyle w:val="table-e"/>
              <w:jc w:val="right"/>
            </w:pPr>
            <w:r>
              <w:t>2</w:t>
            </w:r>
          </w:p>
        </w:tc>
        <w:tc>
          <w:tcPr>
            <w:tcW w:w="1080" w:type="dxa"/>
            <w:tcMar>
              <w:left w:w="60" w:type="dxa"/>
              <w:right w:w="60" w:type="dxa"/>
            </w:tcMar>
          </w:tcPr>
          <w:p w14:paraId="6C3EFE1E" w14:textId="77777777" w:rsidR="00D9408B" w:rsidRDefault="00D9408B" w:rsidP="00BD5746">
            <w:pPr>
              <w:pStyle w:val="table-e"/>
              <w:jc w:val="right"/>
            </w:pPr>
            <w:r>
              <w:t>3</w:t>
            </w:r>
          </w:p>
        </w:tc>
        <w:tc>
          <w:tcPr>
            <w:tcW w:w="1080" w:type="dxa"/>
            <w:tcMar>
              <w:left w:w="60" w:type="dxa"/>
              <w:right w:w="60" w:type="dxa"/>
            </w:tcMar>
          </w:tcPr>
          <w:p w14:paraId="47A7BAB0" w14:textId="77777777" w:rsidR="00D9408B" w:rsidRDefault="00D9408B" w:rsidP="00BD5746">
            <w:pPr>
              <w:pStyle w:val="table-e"/>
              <w:jc w:val="right"/>
            </w:pPr>
            <w:r>
              <w:t>3</w:t>
            </w:r>
          </w:p>
        </w:tc>
      </w:tr>
      <w:tr w:rsidR="00D9408B" w14:paraId="55197CB9" w14:textId="77777777" w:rsidTr="00BD5746">
        <w:tc>
          <w:tcPr>
            <w:tcW w:w="2400" w:type="dxa"/>
            <w:tcMar>
              <w:left w:w="60" w:type="dxa"/>
              <w:right w:w="60" w:type="dxa"/>
            </w:tcMar>
          </w:tcPr>
          <w:p w14:paraId="253D017D" w14:textId="77777777" w:rsidR="00D9408B" w:rsidRDefault="00D9408B" w:rsidP="00BD5746">
            <w:pPr>
              <w:pStyle w:val="table-e"/>
            </w:pPr>
            <w:r>
              <w:t>12,000 - 14,999</w:t>
            </w:r>
          </w:p>
        </w:tc>
        <w:tc>
          <w:tcPr>
            <w:tcW w:w="1320" w:type="dxa"/>
            <w:tcMar>
              <w:left w:w="60" w:type="dxa"/>
              <w:right w:w="60" w:type="dxa"/>
            </w:tcMar>
          </w:tcPr>
          <w:p w14:paraId="306ED8ED" w14:textId="77777777" w:rsidR="00D9408B" w:rsidRDefault="00D9408B" w:rsidP="00BD5746">
            <w:pPr>
              <w:pStyle w:val="table-e"/>
              <w:jc w:val="right"/>
            </w:pPr>
            <w:r>
              <w:t>1</w:t>
            </w:r>
          </w:p>
        </w:tc>
        <w:tc>
          <w:tcPr>
            <w:tcW w:w="1080" w:type="dxa"/>
            <w:tcMar>
              <w:left w:w="60" w:type="dxa"/>
              <w:right w:w="60" w:type="dxa"/>
            </w:tcMar>
          </w:tcPr>
          <w:p w14:paraId="2784BEA3" w14:textId="77777777" w:rsidR="00D9408B" w:rsidRDefault="00D9408B" w:rsidP="00BD5746">
            <w:pPr>
              <w:pStyle w:val="table-e"/>
              <w:jc w:val="right"/>
            </w:pPr>
            <w:r>
              <w:t>1</w:t>
            </w:r>
          </w:p>
        </w:tc>
        <w:tc>
          <w:tcPr>
            <w:tcW w:w="1080" w:type="dxa"/>
            <w:tcMar>
              <w:left w:w="60" w:type="dxa"/>
              <w:right w:w="60" w:type="dxa"/>
            </w:tcMar>
          </w:tcPr>
          <w:p w14:paraId="2A923215" w14:textId="77777777" w:rsidR="00D9408B" w:rsidRDefault="00D9408B" w:rsidP="00BD5746">
            <w:pPr>
              <w:pStyle w:val="table-e"/>
              <w:tabs>
                <w:tab w:val="center" w:pos="480"/>
                <w:tab w:val="right" w:pos="960"/>
              </w:tabs>
              <w:jc w:val="right"/>
            </w:pPr>
            <w:r w:rsidRPr="003954FD">
              <w:t>2</w:t>
            </w:r>
          </w:p>
        </w:tc>
        <w:tc>
          <w:tcPr>
            <w:tcW w:w="1080" w:type="dxa"/>
            <w:tcMar>
              <w:left w:w="60" w:type="dxa"/>
              <w:right w:w="60" w:type="dxa"/>
            </w:tcMar>
          </w:tcPr>
          <w:p w14:paraId="45981251" w14:textId="77777777" w:rsidR="00D9408B" w:rsidRDefault="00D9408B" w:rsidP="00BD5746">
            <w:pPr>
              <w:pStyle w:val="table-e"/>
              <w:jc w:val="right"/>
            </w:pPr>
            <w:r>
              <w:t>2</w:t>
            </w:r>
          </w:p>
        </w:tc>
        <w:tc>
          <w:tcPr>
            <w:tcW w:w="960" w:type="dxa"/>
            <w:tcMar>
              <w:left w:w="60" w:type="dxa"/>
              <w:right w:w="60" w:type="dxa"/>
            </w:tcMar>
          </w:tcPr>
          <w:p w14:paraId="76037A39" w14:textId="77777777" w:rsidR="00D9408B" w:rsidRDefault="00D9408B" w:rsidP="00BD5746">
            <w:pPr>
              <w:pStyle w:val="table-e"/>
              <w:jc w:val="right"/>
            </w:pPr>
            <w:r>
              <w:t>2</w:t>
            </w:r>
          </w:p>
        </w:tc>
        <w:tc>
          <w:tcPr>
            <w:tcW w:w="1080" w:type="dxa"/>
            <w:tcMar>
              <w:left w:w="60" w:type="dxa"/>
              <w:right w:w="60" w:type="dxa"/>
            </w:tcMar>
          </w:tcPr>
          <w:p w14:paraId="7E74E3E0" w14:textId="77777777" w:rsidR="00D9408B" w:rsidRDefault="00D9408B" w:rsidP="00BD5746">
            <w:pPr>
              <w:pStyle w:val="table-e"/>
              <w:jc w:val="right"/>
            </w:pPr>
            <w:r>
              <w:t>3</w:t>
            </w:r>
          </w:p>
        </w:tc>
        <w:tc>
          <w:tcPr>
            <w:tcW w:w="1080" w:type="dxa"/>
            <w:tcMar>
              <w:left w:w="60" w:type="dxa"/>
              <w:right w:w="60" w:type="dxa"/>
            </w:tcMar>
          </w:tcPr>
          <w:p w14:paraId="6556FC4A" w14:textId="77777777" w:rsidR="00D9408B" w:rsidRDefault="00D9408B" w:rsidP="00BD5746">
            <w:pPr>
              <w:pStyle w:val="table-e"/>
              <w:jc w:val="right"/>
            </w:pPr>
            <w:r>
              <w:t>3</w:t>
            </w:r>
          </w:p>
        </w:tc>
      </w:tr>
      <w:tr w:rsidR="00D9408B" w14:paraId="75511301" w14:textId="77777777" w:rsidTr="00BD5746">
        <w:tc>
          <w:tcPr>
            <w:tcW w:w="2400" w:type="dxa"/>
            <w:tcMar>
              <w:left w:w="60" w:type="dxa"/>
              <w:right w:w="60" w:type="dxa"/>
            </w:tcMar>
          </w:tcPr>
          <w:p w14:paraId="4DD296E1" w14:textId="77777777" w:rsidR="00D9408B" w:rsidRDefault="00D9408B" w:rsidP="00BD5746">
            <w:pPr>
              <w:pStyle w:val="table-e"/>
            </w:pPr>
            <w:r>
              <w:t>10,000 - 11,999</w:t>
            </w:r>
          </w:p>
        </w:tc>
        <w:tc>
          <w:tcPr>
            <w:tcW w:w="1320" w:type="dxa"/>
            <w:tcMar>
              <w:left w:w="60" w:type="dxa"/>
              <w:right w:w="60" w:type="dxa"/>
            </w:tcMar>
          </w:tcPr>
          <w:p w14:paraId="22F30F21" w14:textId="77777777" w:rsidR="00D9408B" w:rsidRDefault="00D9408B" w:rsidP="00BD5746">
            <w:pPr>
              <w:pStyle w:val="table-e"/>
              <w:jc w:val="right"/>
            </w:pPr>
            <w:r>
              <w:t>1</w:t>
            </w:r>
          </w:p>
        </w:tc>
        <w:tc>
          <w:tcPr>
            <w:tcW w:w="1080" w:type="dxa"/>
            <w:tcMar>
              <w:left w:w="60" w:type="dxa"/>
              <w:right w:w="60" w:type="dxa"/>
            </w:tcMar>
          </w:tcPr>
          <w:p w14:paraId="61983336" w14:textId="77777777" w:rsidR="00D9408B" w:rsidRDefault="00D9408B" w:rsidP="00BD5746">
            <w:pPr>
              <w:pStyle w:val="table-e"/>
              <w:jc w:val="right"/>
            </w:pPr>
            <w:r>
              <w:t>1</w:t>
            </w:r>
          </w:p>
        </w:tc>
        <w:tc>
          <w:tcPr>
            <w:tcW w:w="1080" w:type="dxa"/>
            <w:tcMar>
              <w:left w:w="60" w:type="dxa"/>
              <w:right w:w="60" w:type="dxa"/>
            </w:tcMar>
          </w:tcPr>
          <w:p w14:paraId="26F190BC" w14:textId="77777777" w:rsidR="00D9408B" w:rsidRDefault="00D9408B" w:rsidP="00BD5746">
            <w:pPr>
              <w:pStyle w:val="table-e"/>
              <w:jc w:val="right"/>
            </w:pPr>
            <w:r>
              <w:t>2</w:t>
            </w:r>
          </w:p>
        </w:tc>
        <w:tc>
          <w:tcPr>
            <w:tcW w:w="1080" w:type="dxa"/>
            <w:tcMar>
              <w:left w:w="60" w:type="dxa"/>
              <w:right w:w="60" w:type="dxa"/>
            </w:tcMar>
          </w:tcPr>
          <w:p w14:paraId="1C4A4847" w14:textId="77777777" w:rsidR="00D9408B" w:rsidRDefault="00D9408B" w:rsidP="00BD5746">
            <w:pPr>
              <w:pStyle w:val="table-e"/>
              <w:jc w:val="right"/>
            </w:pPr>
            <w:r>
              <w:t>2</w:t>
            </w:r>
          </w:p>
        </w:tc>
        <w:tc>
          <w:tcPr>
            <w:tcW w:w="960" w:type="dxa"/>
            <w:tcMar>
              <w:left w:w="60" w:type="dxa"/>
              <w:right w:w="60" w:type="dxa"/>
            </w:tcMar>
          </w:tcPr>
          <w:p w14:paraId="68C3864F" w14:textId="77777777" w:rsidR="00D9408B" w:rsidRDefault="00D9408B" w:rsidP="00BD5746">
            <w:pPr>
              <w:pStyle w:val="table-e"/>
              <w:jc w:val="right"/>
            </w:pPr>
            <w:r>
              <w:t>3</w:t>
            </w:r>
          </w:p>
        </w:tc>
        <w:tc>
          <w:tcPr>
            <w:tcW w:w="1080" w:type="dxa"/>
            <w:tcMar>
              <w:left w:w="60" w:type="dxa"/>
              <w:right w:w="60" w:type="dxa"/>
            </w:tcMar>
          </w:tcPr>
          <w:p w14:paraId="30047F95" w14:textId="77777777" w:rsidR="00D9408B" w:rsidRDefault="00D9408B" w:rsidP="00BD5746">
            <w:pPr>
              <w:pStyle w:val="table-e"/>
              <w:jc w:val="right"/>
            </w:pPr>
            <w:r>
              <w:t>3</w:t>
            </w:r>
          </w:p>
        </w:tc>
        <w:tc>
          <w:tcPr>
            <w:tcW w:w="1080" w:type="dxa"/>
            <w:tcMar>
              <w:left w:w="60" w:type="dxa"/>
              <w:right w:w="60" w:type="dxa"/>
            </w:tcMar>
          </w:tcPr>
          <w:p w14:paraId="379F4CC6" w14:textId="77777777" w:rsidR="00D9408B" w:rsidRDefault="00D9408B" w:rsidP="00BD5746">
            <w:pPr>
              <w:pStyle w:val="table-e"/>
              <w:jc w:val="right"/>
            </w:pPr>
            <w:r>
              <w:t>3</w:t>
            </w:r>
          </w:p>
        </w:tc>
      </w:tr>
      <w:tr w:rsidR="00D9408B" w14:paraId="0083BD9E" w14:textId="77777777" w:rsidTr="00BD5746">
        <w:tc>
          <w:tcPr>
            <w:tcW w:w="2400" w:type="dxa"/>
            <w:tcMar>
              <w:left w:w="60" w:type="dxa"/>
              <w:right w:w="60" w:type="dxa"/>
            </w:tcMar>
          </w:tcPr>
          <w:p w14:paraId="42530DB7" w14:textId="77777777" w:rsidR="00D9408B" w:rsidRDefault="00D9408B" w:rsidP="00BD5746">
            <w:pPr>
              <w:pStyle w:val="table-e"/>
            </w:pPr>
            <w:r>
              <w:t>8,000 - 9,999</w:t>
            </w:r>
          </w:p>
        </w:tc>
        <w:tc>
          <w:tcPr>
            <w:tcW w:w="1320" w:type="dxa"/>
            <w:tcMar>
              <w:left w:w="60" w:type="dxa"/>
              <w:right w:w="60" w:type="dxa"/>
            </w:tcMar>
          </w:tcPr>
          <w:p w14:paraId="0742052B" w14:textId="77777777" w:rsidR="00D9408B" w:rsidRDefault="00D9408B" w:rsidP="00BD5746">
            <w:pPr>
              <w:pStyle w:val="table-e"/>
              <w:jc w:val="right"/>
            </w:pPr>
            <w:r>
              <w:t>1</w:t>
            </w:r>
          </w:p>
        </w:tc>
        <w:tc>
          <w:tcPr>
            <w:tcW w:w="1080" w:type="dxa"/>
            <w:tcMar>
              <w:left w:w="60" w:type="dxa"/>
              <w:right w:w="60" w:type="dxa"/>
            </w:tcMar>
          </w:tcPr>
          <w:p w14:paraId="0ACCF461" w14:textId="77777777" w:rsidR="00D9408B" w:rsidRDefault="00D9408B" w:rsidP="00BD5746">
            <w:pPr>
              <w:pStyle w:val="table-e"/>
              <w:jc w:val="right"/>
            </w:pPr>
            <w:r>
              <w:t>1</w:t>
            </w:r>
          </w:p>
        </w:tc>
        <w:tc>
          <w:tcPr>
            <w:tcW w:w="1080" w:type="dxa"/>
            <w:tcMar>
              <w:left w:w="60" w:type="dxa"/>
              <w:right w:w="60" w:type="dxa"/>
            </w:tcMar>
          </w:tcPr>
          <w:p w14:paraId="73C7D1BA" w14:textId="77777777" w:rsidR="00D9408B" w:rsidRDefault="00D9408B" w:rsidP="00BD5746">
            <w:pPr>
              <w:pStyle w:val="table-e"/>
              <w:jc w:val="right"/>
            </w:pPr>
            <w:r>
              <w:t>2</w:t>
            </w:r>
          </w:p>
        </w:tc>
        <w:tc>
          <w:tcPr>
            <w:tcW w:w="1080" w:type="dxa"/>
            <w:tcMar>
              <w:left w:w="60" w:type="dxa"/>
              <w:right w:w="60" w:type="dxa"/>
            </w:tcMar>
          </w:tcPr>
          <w:p w14:paraId="53C5B804" w14:textId="77777777" w:rsidR="00D9408B" w:rsidRDefault="00D9408B" w:rsidP="00BD5746">
            <w:pPr>
              <w:pStyle w:val="table-e"/>
              <w:jc w:val="right"/>
            </w:pPr>
            <w:r>
              <w:t>3</w:t>
            </w:r>
          </w:p>
        </w:tc>
        <w:tc>
          <w:tcPr>
            <w:tcW w:w="960" w:type="dxa"/>
            <w:tcMar>
              <w:left w:w="60" w:type="dxa"/>
              <w:right w:w="60" w:type="dxa"/>
            </w:tcMar>
          </w:tcPr>
          <w:p w14:paraId="63315D93" w14:textId="77777777" w:rsidR="00D9408B" w:rsidRDefault="00D9408B" w:rsidP="00BD5746">
            <w:pPr>
              <w:pStyle w:val="table-e"/>
              <w:jc w:val="right"/>
            </w:pPr>
            <w:r>
              <w:t>3</w:t>
            </w:r>
          </w:p>
        </w:tc>
        <w:tc>
          <w:tcPr>
            <w:tcW w:w="1080" w:type="dxa"/>
            <w:tcMar>
              <w:left w:w="60" w:type="dxa"/>
              <w:right w:w="60" w:type="dxa"/>
            </w:tcMar>
          </w:tcPr>
          <w:p w14:paraId="77DFAE5C" w14:textId="77777777" w:rsidR="00D9408B" w:rsidRDefault="00D9408B" w:rsidP="00BD5746">
            <w:pPr>
              <w:pStyle w:val="table-e"/>
              <w:jc w:val="right"/>
            </w:pPr>
            <w:r>
              <w:t>3</w:t>
            </w:r>
          </w:p>
        </w:tc>
        <w:tc>
          <w:tcPr>
            <w:tcW w:w="1080" w:type="dxa"/>
            <w:tcMar>
              <w:left w:w="60" w:type="dxa"/>
              <w:right w:w="60" w:type="dxa"/>
            </w:tcMar>
          </w:tcPr>
          <w:p w14:paraId="5B30F715" w14:textId="77777777" w:rsidR="00D9408B" w:rsidRDefault="00D9408B" w:rsidP="00BD5746">
            <w:pPr>
              <w:pStyle w:val="table-e"/>
              <w:jc w:val="right"/>
            </w:pPr>
            <w:r>
              <w:t>3</w:t>
            </w:r>
          </w:p>
        </w:tc>
      </w:tr>
      <w:tr w:rsidR="00D9408B" w14:paraId="2F125513" w14:textId="77777777" w:rsidTr="00BD5746">
        <w:tc>
          <w:tcPr>
            <w:tcW w:w="2400" w:type="dxa"/>
            <w:tcMar>
              <w:left w:w="60" w:type="dxa"/>
              <w:right w:w="60" w:type="dxa"/>
            </w:tcMar>
          </w:tcPr>
          <w:p w14:paraId="590E19D5" w14:textId="77777777" w:rsidR="00D9408B" w:rsidRDefault="00D9408B" w:rsidP="00BD5746">
            <w:pPr>
              <w:pStyle w:val="table-e"/>
            </w:pPr>
            <w:r>
              <w:t>6,000 - 7,999</w:t>
            </w:r>
          </w:p>
        </w:tc>
        <w:tc>
          <w:tcPr>
            <w:tcW w:w="1320" w:type="dxa"/>
            <w:tcMar>
              <w:left w:w="60" w:type="dxa"/>
              <w:right w:w="60" w:type="dxa"/>
            </w:tcMar>
          </w:tcPr>
          <w:p w14:paraId="0D01EC81" w14:textId="77777777" w:rsidR="00D9408B" w:rsidRDefault="00D9408B" w:rsidP="00BD5746">
            <w:pPr>
              <w:pStyle w:val="table-e"/>
              <w:jc w:val="right"/>
            </w:pPr>
            <w:r>
              <w:t>1</w:t>
            </w:r>
          </w:p>
        </w:tc>
        <w:tc>
          <w:tcPr>
            <w:tcW w:w="1080" w:type="dxa"/>
            <w:tcMar>
              <w:left w:w="60" w:type="dxa"/>
              <w:right w:w="60" w:type="dxa"/>
            </w:tcMar>
          </w:tcPr>
          <w:p w14:paraId="1DDAD3ED" w14:textId="77777777" w:rsidR="00D9408B" w:rsidRDefault="00D9408B" w:rsidP="00BD5746">
            <w:pPr>
              <w:pStyle w:val="table-e"/>
              <w:jc w:val="right"/>
            </w:pPr>
            <w:r>
              <w:t>2</w:t>
            </w:r>
          </w:p>
        </w:tc>
        <w:tc>
          <w:tcPr>
            <w:tcW w:w="1080" w:type="dxa"/>
            <w:tcMar>
              <w:left w:w="60" w:type="dxa"/>
              <w:right w:w="60" w:type="dxa"/>
            </w:tcMar>
          </w:tcPr>
          <w:p w14:paraId="6F00F460" w14:textId="77777777" w:rsidR="00D9408B" w:rsidRDefault="00D9408B" w:rsidP="00BD5746">
            <w:pPr>
              <w:pStyle w:val="table-e"/>
              <w:jc w:val="right"/>
            </w:pPr>
            <w:r>
              <w:t>2</w:t>
            </w:r>
          </w:p>
        </w:tc>
        <w:tc>
          <w:tcPr>
            <w:tcW w:w="1080" w:type="dxa"/>
            <w:tcMar>
              <w:left w:w="60" w:type="dxa"/>
              <w:right w:w="60" w:type="dxa"/>
            </w:tcMar>
          </w:tcPr>
          <w:p w14:paraId="12ABF972" w14:textId="77777777" w:rsidR="00D9408B" w:rsidRDefault="00D9408B" w:rsidP="00BD5746">
            <w:pPr>
              <w:pStyle w:val="table-e"/>
              <w:jc w:val="right"/>
            </w:pPr>
            <w:r>
              <w:t>3</w:t>
            </w:r>
          </w:p>
        </w:tc>
        <w:tc>
          <w:tcPr>
            <w:tcW w:w="960" w:type="dxa"/>
            <w:tcMar>
              <w:left w:w="60" w:type="dxa"/>
              <w:right w:w="60" w:type="dxa"/>
            </w:tcMar>
          </w:tcPr>
          <w:p w14:paraId="6A8D338C" w14:textId="77777777" w:rsidR="00D9408B" w:rsidRDefault="00D9408B" w:rsidP="00BD5746">
            <w:pPr>
              <w:pStyle w:val="table-e"/>
              <w:jc w:val="right"/>
            </w:pPr>
            <w:r>
              <w:t>3</w:t>
            </w:r>
          </w:p>
        </w:tc>
        <w:tc>
          <w:tcPr>
            <w:tcW w:w="1080" w:type="dxa"/>
            <w:tcMar>
              <w:left w:w="60" w:type="dxa"/>
              <w:right w:w="60" w:type="dxa"/>
            </w:tcMar>
          </w:tcPr>
          <w:p w14:paraId="45FF7759" w14:textId="77777777" w:rsidR="00D9408B" w:rsidRDefault="00D9408B" w:rsidP="00BD5746">
            <w:pPr>
              <w:pStyle w:val="table-e"/>
              <w:jc w:val="right"/>
            </w:pPr>
            <w:r>
              <w:t>4</w:t>
            </w:r>
          </w:p>
        </w:tc>
        <w:tc>
          <w:tcPr>
            <w:tcW w:w="1080" w:type="dxa"/>
            <w:tcMar>
              <w:left w:w="60" w:type="dxa"/>
              <w:right w:w="60" w:type="dxa"/>
            </w:tcMar>
          </w:tcPr>
          <w:p w14:paraId="749263FA" w14:textId="77777777" w:rsidR="00D9408B" w:rsidRDefault="00D9408B" w:rsidP="00BD5746">
            <w:pPr>
              <w:pStyle w:val="table-e"/>
              <w:jc w:val="right"/>
            </w:pPr>
            <w:r>
              <w:t>4</w:t>
            </w:r>
          </w:p>
        </w:tc>
      </w:tr>
      <w:tr w:rsidR="00D9408B" w14:paraId="322DEF33" w14:textId="77777777" w:rsidTr="00BD5746">
        <w:tc>
          <w:tcPr>
            <w:tcW w:w="2400" w:type="dxa"/>
            <w:tcMar>
              <w:left w:w="60" w:type="dxa"/>
              <w:right w:w="60" w:type="dxa"/>
            </w:tcMar>
          </w:tcPr>
          <w:p w14:paraId="6D567911" w14:textId="77777777" w:rsidR="00D9408B" w:rsidRDefault="00D9408B" w:rsidP="00BD5746">
            <w:pPr>
              <w:pStyle w:val="table-e"/>
            </w:pPr>
            <w:r>
              <w:t>5,000 - 5,999</w:t>
            </w:r>
          </w:p>
        </w:tc>
        <w:tc>
          <w:tcPr>
            <w:tcW w:w="1320" w:type="dxa"/>
            <w:tcMar>
              <w:left w:w="60" w:type="dxa"/>
              <w:right w:w="60" w:type="dxa"/>
            </w:tcMar>
          </w:tcPr>
          <w:p w14:paraId="296F5FBD" w14:textId="77777777" w:rsidR="00D9408B" w:rsidRDefault="00D9408B" w:rsidP="00BD5746">
            <w:pPr>
              <w:pStyle w:val="table-e"/>
              <w:jc w:val="right"/>
            </w:pPr>
            <w:r>
              <w:t>1</w:t>
            </w:r>
          </w:p>
        </w:tc>
        <w:tc>
          <w:tcPr>
            <w:tcW w:w="1080" w:type="dxa"/>
            <w:tcMar>
              <w:left w:w="60" w:type="dxa"/>
              <w:right w:w="60" w:type="dxa"/>
            </w:tcMar>
          </w:tcPr>
          <w:p w14:paraId="30B89221" w14:textId="77777777" w:rsidR="00D9408B" w:rsidRDefault="00D9408B" w:rsidP="00BD5746">
            <w:pPr>
              <w:pStyle w:val="table-e"/>
              <w:jc w:val="right"/>
            </w:pPr>
            <w:r>
              <w:t>2</w:t>
            </w:r>
          </w:p>
        </w:tc>
        <w:tc>
          <w:tcPr>
            <w:tcW w:w="1080" w:type="dxa"/>
            <w:tcMar>
              <w:left w:w="60" w:type="dxa"/>
              <w:right w:w="60" w:type="dxa"/>
            </w:tcMar>
          </w:tcPr>
          <w:p w14:paraId="33CAC5DE" w14:textId="77777777" w:rsidR="00D9408B" w:rsidRDefault="00D9408B" w:rsidP="00BD5746">
            <w:pPr>
              <w:pStyle w:val="table-e"/>
              <w:jc w:val="right"/>
            </w:pPr>
            <w:r>
              <w:t>2</w:t>
            </w:r>
          </w:p>
        </w:tc>
        <w:tc>
          <w:tcPr>
            <w:tcW w:w="1080" w:type="dxa"/>
            <w:tcMar>
              <w:left w:w="60" w:type="dxa"/>
              <w:right w:w="60" w:type="dxa"/>
            </w:tcMar>
          </w:tcPr>
          <w:p w14:paraId="0515B33D" w14:textId="77777777" w:rsidR="00D9408B" w:rsidRDefault="00D9408B" w:rsidP="00BD5746">
            <w:pPr>
              <w:pStyle w:val="table-e"/>
              <w:jc w:val="right"/>
            </w:pPr>
            <w:r>
              <w:t>3</w:t>
            </w:r>
          </w:p>
        </w:tc>
        <w:tc>
          <w:tcPr>
            <w:tcW w:w="960" w:type="dxa"/>
            <w:tcMar>
              <w:left w:w="60" w:type="dxa"/>
              <w:right w:w="60" w:type="dxa"/>
            </w:tcMar>
          </w:tcPr>
          <w:p w14:paraId="2C89D99E" w14:textId="77777777" w:rsidR="00D9408B" w:rsidRDefault="00D9408B" w:rsidP="00BD5746">
            <w:pPr>
              <w:pStyle w:val="table-e"/>
              <w:jc w:val="right"/>
            </w:pPr>
            <w:r>
              <w:t>3</w:t>
            </w:r>
          </w:p>
        </w:tc>
        <w:tc>
          <w:tcPr>
            <w:tcW w:w="1080" w:type="dxa"/>
            <w:tcMar>
              <w:left w:w="60" w:type="dxa"/>
              <w:right w:w="60" w:type="dxa"/>
            </w:tcMar>
          </w:tcPr>
          <w:p w14:paraId="3F6E4D8D" w14:textId="77777777" w:rsidR="00D9408B" w:rsidRDefault="00D9408B" w:rsidP="00BD5746">
            <w:pPr>
              <w:pStyle w:val="table-e"/>
              <w:jc w:val="right"/>
            </w:pPr>
            <w:r>
              <w:t>4</w:t>
            </w:r>
          </w:p>
        </w:tc>
        <w:tc>
          <w:tcPr>
            <w:tcW w:w="1080" w:type="dxa"/>
            <w:tcMar>
              <w:left w:w="60" w:type="dxa"/>
              <w:right w:w="60" w:type="dxa"/>
            </w:tcMar>
          </w:tcPr>
          <w:p w14:paraId="05A1FB2F" w14:textId="77777777" w:rsidR="00D9408B" w:rsidRDefault="00D9408B" w:rsidP="00BD5746">
            <w:pPr>
              <w:pStyle w:val="table-e"/>
              <w:jc w:val="right"/>
            </w:pPr>
            <w:r>
              <w:t>4</w:t>
            </w:r>
          </w:p>
        </w:tc>
      </w:tr>
      <w:tr w:rsidR="00D9408B" w14:paraId="4C499D0F" w14:textId="77777777" w:rsidTr="00BD5746">
        <w:tc>
          <w:tcPr>
            <w:tcW w:w="2400" w:type="dxa"/>
            <w:tcMar>
              <w:left w:w="60" w:type="dxa"/>
              <w:right w:w="60" w:type="dxa"/>
            </w:tcMar>
          </w:tcPr>
          <w:p w14:paraId="273E490D" w14:textId="77777777" w:rsidR="00D9408B" w:rsidRDefault="00D9408B" w:rsidP="00BD5746">
            <w:pPr>
              <w:pStyle w:val="table-e"/>
            </w:pPr>
            <w:r>
              <w:t>4,000 - 4,999</w:t>
            </w:r>
          </w:p>
        </w:tc>
        <w:tc>
          <w:tcPr>
            <w:tcW w:w="1320" w:type="dxa"/>
            <w:tcMar>
              <w:left w:w="60" w:type="dxa"/>
              <w:right w:w="60" w:type="dxa"/>
            </w:tcMar>
          </w:tcPr>
          <w:p w14:paraId="1B85432E" w14:textId="77777777" w:rsidR="00D9408B" w:rsidRDefault="00D9408B" w:rsidP="00BD5746">
            <w:pPr>
              <w:pStyle w:val="table-e"/>
              <w:jc w:val="right"/>
            </w:pPr>
            <w:r>
              <w:t>1</w:t>
            </w:r>
          </w:p>
        </w:tc>
        <w:tc>
          <w:tcPr>
            <w:tcW w:w="1080" w:type="dxa"/>
            <w:tcMar>
              <w:left w:w="60" w:type="dxa"/>
              <w:right w:w="60" w:type="dxa"/>
            </w:tcMar>
          </w:tcPr>
          <w:p w14:paraId="626EEBD0" w14:textId="77777777" w:rsidR="00D9408B" w:rsidRDefault="00D9408B" w:rsidP="00BD5746">
            <w:pPr>
              <w:pStyle w:val="table-e"/>
              <w:jc w:val="right"/>
            </w:pPr>
            <w:r>
              <w:t>2</w:t>
            </w:r>
          </w:p>
        </w:tc>
        <w:tc>
          <w:tcPr>
            <w:tcW w:w="1080" w:type="dxa"/>
            <w:tcMar>
              <w:left w:w="60" w:type="dxa"/>
              <w:right w:w="60" w:type="dxa"/>
            </w:tcMar>
          </w:tcPr>
          <w:p w14:paraId="54597BEE" w14:textId="77777777" w:rsidR="00D9408B" w:rsidRDefault="00D9408B" w:rsidP="00BD5746">
            <w:pPr>
              <w:pStyle w:val="table-e"/>
              <w:jc w:val="right"/>
            </w:pPr>
            <w:r>
              <w:t>3</w:t>
            </w:r>
          </w:p>
        </w:tc>
        <w:tc>
          <w:tcPr>
            <w:tcW w:w="1080" w:type="dxa"/>
            <w:tcMar>
              <w:left w:w="60" w:type="dxa"/>
              <w:right w:w="60" w:type="dxa"/>
            </w:tcMar>
          </w:tcPr>
          <w:p w14:paraId="07F42C7C" w14:textId="77777777" w:rsidR="00D9408B" w:rsidRDefault="00D9408B" w:rsidP="00BD5746">
            <w:pPr>
              <w:pStyle w:val="table-e"/>
              <w:jc w:val="right"/>
            </w:pPr>
            <w:r>
              <w:t>3</w:t>
            </w:r>
          </w:p>
        </w:tc>
        <w:tc>
          <w:tcPr>
            <w:tcW w:w="960" w:type="dxa"/>
            <w:tcMar>
              <w:left w:w="60" w:type="dxa"/>
              <w:right w:w="60" w:type="dxa"/>
            </w:tcMar>
          </w:tcPr>
          <w:p w14:paraId="3D5B4E6A" w14:textId="77777777" w:rsidR="00D9408B" w:rsidRDefault="00D9408B" w:rsidP="00BD5746">
            <w:pPr>
              <w:pStyle w:val="table-e"/>
              <w:jc w:val="right"/>
            </w:pPr>
            <w:r>
              <w:t>3</w:t>
            </w:r>
          </w:p>
        </w:tc>
        <w:tc>
          <w:tcPr>
            <w:tcW w:w="1080" w:type="dxa"/>
            <w:tcMar>
              <w:left w:w="60" w:type="dxa"/>
              <w:right w:w="60" w:type="dxa"/>
            </w:tcMar>
          </w:tcPr>
          <w:p w14:paraId="72DC0947" w14:textId="77777777" w:rsidR="00D9408B" w:rsidRDefault="00D9408B" w:rsidP="00BD5746">
            <w:pPr>
              <w:pStyle w:val="table-e"/>
              <w:jc w:val="right"/>
            </w:pPr>
            <w:r>
              <w:t>4</w:t>
            </w:r>
          </w:p>
        </w:tc>
        <w:tc>
          <w:tcPr>
            <w:tcW w:w="1080" w:type="dxa"/>
            <w:tcMar>
              <w:left w:w="60" w:type="dxa"/>
              <w:right w:w="60" w:type="dxa"/>
            </w:tcMar>
          </w:tcPr>
          <w:p w14:paraId="7E5CE1A6" w14:textId="77777777" w:rsidR="00D9408B" w:rsidRDefault="00D9408B" w:rsidP="00BD5746">
            <w:pPr>
              <w:pStyle w:val="table-e"/>
              <w:jc w:val="right"/>
            </w:pPr>
            <w:r>
              <w:t>4</w:t>
            </w:r>
          </w:p>
        </w:tc>
      </w:tr>
      <w:tr w:rsidR="00D9408B" w14:paraId="3CE18819" w14:textId="77777777" w:rsidTr="00BD5746">
        <w:tc>
          <w:tcPr>
            <w:tcW w:w="2400" w:type="dxa"/>
            <w:tcMar>
              <w:left w:w="60" w:type="dxa"/>
              <w:right w:w="60" w:type="dxa"/>
            </w:tcMar>
          </w:tcPr>
          <w:p w14:paraId="3F1B16C0" w14:textId="77777777" w:rsidR="00D9408B" w:rsidRDefault="00D9408B" w:rsidP="00BD5746">
            <w:pPr>
              <w:pStyle w:val="table-e"/>
            </w:pPr>
            <w:r>
              <w:t>3,000 - 3,999</w:t>
            </w:r>
          </w:p>
        </w:tc>
        <w:tc>
          <w:tcPr>
            <w:tcW w:w="1320" w:type="dxa"/>
            <w:tcMar>
              <w:left w:w="60" w:type="dxa"/>
              <w:right w:w="60" w:type="dxa"/>
            </w:tcMar>
          </w:tcPr>
          <w:p w14:paraId="0D449679" w14:textId="77777777" w:rsidR="00D9408B" w:rsidRDefault="00D9408B" w:rsidP="00BD5746">
            <w:pPr>
              <w:pStyle w:val="table-e"/>
              <w:jc w:val="right"/>
            </w:pPr>
            <w:r>
              <w:t>1</w:t>
            </w:r>
          </w:p>
        </w:tc>
        <w:tc>
          <w:tcPr>
            <w:tcW w:w="1080" w:type="dxa"/>
            <w:tcMar>
              <w:left w:w="60" w:type="dxa"/>
              <w:right w:w="60" w:type="dxa"/>
            </w:tcMar>
          </w:tcPr>
          <w:p w14:paraId="1B4D67D1" w14:textId="77777777" w:rsidR="00D9408B" w:rsidRDefault="00D9408B" w:rsidP="00BD5746">
            <w:pPr>
              <w:pStyle w:val="table-e"/>
              <w:jc w:val="right"/>
            </w:pPr>
            <w:r>
              <w:t>2</w:t>
            </w:r>
          </w:p>
        </w:tc>
        <w:tc>
          <w:tcPr>
            <w:tcW w:w="1080" w:type="dxa"/>
            <w:tcMar>
              <w:left w:w="60" w:type="dxa"/>
              <w:right w:w="60" w:type="dxa"/>
            </w:tcMar>
          </w:tcPr>
          <w:p w14:paraId="039477D3" w14:textId="77777777" w:rsidR="00D9408B" w:rsidRDefault="00D9408B" w:rsidP="00BD5746">
            <w:pPr>
              <w:pStyle w:val="table-e"/>
              <w:jc w:val="right"/>
            </w:pPr>
            <w:r>
              <w:t>3</w:t>
            </w:r>
          </w:p>
        </w:tc>
        <w:tc>
          <w:tcPr>
            <w:tcW w:w="1080" w:type="dxa"/>
            <w:tcMar>
              <w:left w:w="60" w:type="dxa"/>
              <w:right w:w="60" w:type="dxa"/>
            </w:tcMar>
          </w:tcPr>
          <w:p w14:paraId="71C58449" w14:textId="77777777" w:rsidR="00D9408B" w:rsidRDefault="00D9408B" w:rsidP="00BD5746">
            <w:pPr>
              <w:pStyle w:val="table-e"/>
              <w:jc w:val="right"/>
            </w:pPr>
            <w:r>
              <w:t>3</w:t>
            </w:r>
          </w:p>
        </w:tc>
        <w:tc>
          <w:tcPr>
            <w:tcW w:w="960" w:type="dxa"/>
            <w:tcMar>
              <w:left w:w="60" w:type="dxa"/>
              <w:right w:w="60" w:type="dxa"/>
            </w:tcMar>
          </w:tcPr>
          <w:p w14:paraId="4170CBEC" w14:textId="77777777" w:rsidR="00D9408B" w:rsidRDefault="00D9408B" w:rsidP="00BD5746">
            <w:pPr>
              <w:pStyle w:val="table-e"/>
              <w:jc w:val="right"/>
            </w:pPr>
            <w:r>
              <w:t>3</w:t>
            </w:r>
          </w:p>
        </w:tc>
        <w:tc>
          <w:tcPr>
            <w:tcW w:w="1080" w:type="dxa"/>
            <w:tcMar>
              <w:left w:w="60" w:type="dxa"/>
              <w:right w:w="60" w:type="dxa"/>
            </w:tcMar>
          </w:tcPr>
          <w:p w14:paraId="1F4BE9B0" w14:textId="77777777" w:rsidR="00D9408B" w:rsidRDefault="00D9408B" w:rsidP="00BD5746">
            <w:pPr>
              <w:pStyle w:val="table-e"/>
              <w:jc w:val="right"/>
            </w:pPr>
            <w:r>
              <w:t>4</w:t>
            </w:r>
          </w:p>
        </w:tc>
        <w:tc>
          <w:tcPr>
            <w:tcW w:w="1080" w:type="dxa"/>
            <w:tcMar>
              <w:left w:w="60" w:type="dxa"/>
              <w:right w:w="60" w:type="dxa"/>
            </w:tcMar>
          </w:tcPr>
          <w:p w14:paraId="3E50CD52" w14:textId="77777777" w:rsidR="00D9408B" w:rsidRDefault="00D9408B" w:rsidP="00BD5746">
            <w:pPr>
              <w:pStyle w:val="table-e"/>
              <w:jc w:val="right"/>
            </w:pPr>
            <w:r>
              <w:t>4</w:t>
            </w:r>
          </w:p>
        </w:tc>
      </w:tr>
      <w:tr w:rsidR="00D9408B" w14:paraId="08B18D08" w14:textId="77777777" w:rsidTr="00BD5746">
        <w:tc>
          <w:tcPr>
            <w:tcW w:w="2400" w:type="dxa"/>
            <w:tcMar>
              <w:left w:w="60" w:type="dxa"/>
              <w:right w:w="60" w:type="dxa"/>
            </w:tcMar>
          </w:tcPr>
          <w:p w14:paraId="332F0199" w14:textId="77777777" w:rsidR="00D9408B" w:rsidRDefault="00D9408B" w:rsidP="00BD5746">
            <w:pPr>
              <w:pStyle w:val="table-e"/>
            </w:pPr>
            <w:r>
              <w:t>2,000 - 2,999</w:t>
            </w:r>
          </w:p>
        </w:tc>
        <w:tc>
          <w:tcPr>
            <w:tcW w:w="1320" w:type="dxa"/>
            <w:tcMar>
              <w:left w:w="60" w:type="dxa"/>
              <w:right w:w="60" w:type="dxa"/>
            </w:tcMar>
          </w:tcPr>
          <w:p w14:paraId="2D5D0E3E" w14:textId="77777777" w:rsidR="00D9408B" w:rsidRDefault="00D9408B" w:rsidP="00BD5746">
            <w:pPr>
              <w:pStyle w:val="table-e"/>
              <w:jc w:val="right"/>
            </w:pPr>
            <w:r>
              <w:t>1</w:t>
            </w:r>
          </w:p>
        </w:tc>
        <w:tc>
          <w:tcPr>
            <w:tcW w:w="1080" w:type="dxa"/>
            <w:tcMar>
              <w:left w:w="60" w:type="dxa"/>
              <w:right w:w="60" w:type="dxa"/>
            </w:tcMar>
          </w:tcPr>
          <w:p w14:paraId="65F83B2F" w14:textId="77777777" w:rsidR="00D9408B" w:rsidRDefault="00D9408B" w:rsidP="00BD5746">
            <w:pPr>
              <w:pStyle w:val="table-e"/>
              <w:jc w:val="right"/>
            </w:pPr>
            <w:r>
              <w:t>2</w:t>
            </w:r>
          </w:p>
        </w:tc>
        <w:tc>
          <w:tcPr>
            <w:tcW w:w="1080" w:type="dxa"/>
            <w:tcMar>
              <w:left w:w="60" w:type="dxa"/>
              <w:right w:w="60" w:type="dxa"/>
            </w:tcMar>
          </w:tcPr>
          <w:p w14:paraId="7F037208" w14:textId="77777777" w:rsidR="00D9408B" w:rsidRDefault="00D9408B" w:rsidP="00BD5746">
            <w:pPr>
              <w:pStyle w:val="table-e"/>
              <w:jc w:val="right"/>
            </w:pPr>
            <w:r>
              <w:t>3</w:t>
            </w:r>
          </w:p>
        </w:tc>
        <w:tc>
          <w:tcPr>
            <w:tcW w:w="1080" w:type="dxa"/>
            <w:tcMar>
              <w:left w:w="60" w:type="dxa"/>
              <w:right w:w="60" w:type="dxa"/>
            </w:tcMar>
          </w:tcPr>
          <w:p w14:paraId="423A95B1" w14:textId="77777777" w:rsidR="00D9408B" w:rsidRDefault="00D9408B" w:rsidP="00BD5746">
            <w:pPr>
              <w:pStyle w:val="table-e"/>
              <w:jc w:val="right"/>
            </w:pPr>
            <w:r>
              <w:t>3</w:t>
            </w:r>
          </w:p>
        </w:tc>
        <w:tc>
          <w:tcPr>
            <w:tcW w:w="960" w:type="dxa"/>
            <w:tcMar>
              <w:left w:w="60" w:type="dxa"/>
              <w:right w:w="60" w:type="dxa"/>
            </w:tcMar>
          </w:tcPr>
          <w:p w14:paraId="5C8D79A5" w14:textId="77777777" w:rsidR="00D9408B" w:rsidRDefault="00D9408B" w:rsidP="00BD5746">
            <w:pPr>
              <w:pStyle w:val="table-e"/>
              <w:jc w:val="right"/>
            </w:pPr>
            <w:r>
              <w:t>4</w:t>
            </w:r>
          </w:p>
        </w:tc>
        <w:tc>
          <w:tcPr>
            <w:tcW w:w="1080" w:type="dxa"/>
            <w:tcMar>
              <w:left w:w="60" w:type="dxa"/>
              <w:right w:w="60" w:type="dxa"/>
            </w:tcMar>
          </w:tcPr>
          <w:p w14:paraId="3A80A0AF" w14:textId="77777777" w:rsidR="00D9408B" w:rsidRDefault="00D9408B" w:rsidP="00BD5746">
            <w:pPr>
              <w:pStyle w:val="table-e"/>
              <w:jc w:val="right"/>
            </w:pPr>
            <w:r>
              <w:t>5</w:t>
            </w:r>
          </w:p>
        </w:tc>
        <w:tc>
          <w:tcPr>
            <w:tcW w:w="1080" w:type="dxa"/>
            <w:tcMar>
              <w:left w:w="60" w:type="dxa"/>
              <w:right w:w="60" w:type="dxa"/>
            </w:tcMar>
          </w:tcPr>
          <w:p w14:paraId="73A12912" w14:textId="77777777" w:rsidR="00D9408B" w:rsidRDefault="00D9408B" w:rsidP="00BD5746">
            <w:pPr>
              <w:pStyle w:val="table-e"/>
              <w:jc w:val="right"/>
            </w:pPr>
            <w:r>
              <w:t>5</w:t>
            </w:r>
          </w:p>
        </w:tc>
      </w:tr>
      <w:tr w:rsidR="00D9408B" w14:paraId="78D10476" w14:textId="77777777" w:rsidTr="00BD5746">
        <w:tc>
          <w:tcPr>
            <w:tcW w:w="2400" w:type="dxa"/>
            <w:tcMar>
              <w:left w:w="60" w:type="dxa"/>
              <w:right w:w="60" w:type="dxa"/>
            </w:tcMar>
          </w:tcPr>
          <w:p w14:paraId="1E7C1831" w14:textId="77777777" w:rsidR="00D9408B" w:rsidRDefault="00D9408B" w:rsidP="00BD5746">
            <w:pPr>
              <w:pStyle w:val="table-e"/>
            </w:pPr>
            <w:r>
              <w:t>1,000 - 1,999</w:t>
            </w:r>
          </w:p>
        </w:tc>
        <w:tc>
          <w:tcPr>
            <w:tcW w:w="1320" w:type="dxa"/>
            <w:tcMar>
              <w:left w:w="60" w:type="dxa"/>
              <w:right w:w="60" w:type="dxa"/>
            </w:tcMar>
          </w:tcPr>
          <w:p w14:paraId="19B8D0B1" w14:textId="77777777" w:rsidR="00D9408B" w:rsidRDefault="00D9408B" w:rsidP="00BD5746">
            <w:pPr>
              <w:pStyle w:val="table-e"/>
              <w:jc w:val="right"/>
            </w:pPr>
            <w:r>
              <w:t>1</w:t>
            </w:r>
          </w:p>
        </w:tc>
        <w:tc>
          <w:tcPr>
            <w:tcW w:w="1080" w:type="dxa"/>
            <w:tcMar>
              <w:left w:w="60" w:type="dxa"/>
              <w:right w:w="60" w:type="dxa"/>
            </w:tcMar>
          </w:tcPr>
          <w:p w14:paraId="622AD550" w14:textId="77777777" w:rsidR="00D9408B" w:rsidRDefault="00D9408B" w:rsidP="00BD5746">
            <w:pPr>
              <w:pStyle w:val="table-e"/>
              <w:jc w:val="right"/>
            </w:pPr>
            <w:r>
              <w:t>3</w:t>
            </w:r>
          </w:p>
        </w:tc>
        <w:tc>
          <w:tcPr>
            <w:tcW w:w="1080" w:type="dxa"/>
            <w:tcMar>
              <w:left w:w="60" w:type="dxa"/>
              <w:right w:w="60" w:type="dxa"/>
            </w:tcMar>
          </w:tcPr>
          <w:p w14:paraId="2046550D" w14:textId="77777777" w:rsidR="00D9408B" w:rsidRDefault="00D9408B" w:rsidP="00BD5746">
            <w:pPr>
              <w:pStyle w:val="table-e"/>
              <w:jc w:val="right"/>
            </w:pPr>
            <w:r>
              <w:t>3</w:t>
            </w:r>
          </w:p>
        </w:tc>
        <w:tc>
          <w:tcPr>
            <w:tcW w:w="1080" w:type="dxa"/>
            <w:tcMar>
              <w:left w:w="60" w:type="dxa"/>
              <w:right w:w="60" w:type="dxa"/>
            </w:tcMar>
          </w:tcPr>
          <w:p w14:paraId="45399848" w14:textId="77777777" w:rsidR="00D9408B" w:rsidRDefault="00D9408B" w:rsidP="00BD5746">
            <w:pPr>
              <w:pStyle w:val="table-e"/>
              <w:jc w:val="right"/>
            </w:pPr>
            <w:r>
              <w:t>3</w:t>
            </w:r>
          </w:p>
        </w:tc>
        <w:tc>
          <w:tcPr>
            <w:tcW w:w="960" w:type="dxa"/>
            <w:tcMar>
              <w:left w:w="60" w:type="dxa"/>
              <w:right w:w="60" w:type="dxa"/>
            </w:tcMar>
          </w:tcPr>
          <w:p w14:paraId="4D93E3B6" w14:textId="77777777" w:rsidR="00D9408B" w:rsidRDefault="00D9408B" w:rsidP="00BD5746">
            <w:pPr>
              <w:pStyle w:val="table-e"/>
              <w:jc w:val="right"/>
            </w:pPr>
            <w:r>
              <w:t>4</w:t>
            </w:r>
          </w:p>
        </w:tc>
        <w:tc>
          <w:tcPr>
            <w:tcW w:w="1080" w:type="dxa"/>
            <w:tcMar>
              <w:left w:w="60" w:type="dxa"/>
              <w:right w:w="60" w:type="dxa"/>
            </w:tcMar>
          </w:tcPr>
          <w:p w14:paraId="3D93A9FD" w14:textId="77777777" w:rsidR="00D9408B" w:rsidRDefault="00D9408B" w:rsidP="00BD5746">
            <w:pPr>
              <w:pStyle w:val="table-e"/>
              <w:jc w:val="right"/>
            </w:pPr>
            <w:r>
              <w:t>5</w:t>
            </w:r>
          </w:p>
        </w:tc>
        <w:tc>
          <w:tcPr>
            <w:tcW w:w="1080" w:type="dxa"/>
            <w:tcMar>
              <w:left w:w="60" w:type="dxa"/>
              <w:right w:w="60" w:type="dxa"/>
            </w:tcMar>
          </w:tcPr>
          <w:p w14:paraId="64ED25D3" w14:textId="77777777" w:rsidR="00D9408B" w:rsidRDefault="00D9408B" w:rsidP="00BD5746">
            <w:pPr>
              <w:pStyle w:val="table-e"/>
              <w:jc w:val="right"/>
            </w:pPr>
            <w:r>
              <w:t>5</w:t>
            </w:r>
          </w:p>
        </w:tc>
      </w:tr>
      <w:tr w:rsidR="00D9408B" w14:paraId="6EE40C31" w14:textId="77777777" w:rsidTr="00BD5746">
        <w:tc>
          <w:tcPr>
            <w:tcW w:w="2400" w:type="dxa"/>
            <w:tcMar>
              <w:left w:w="60" w:type="dxa"/>
              <w:right w:w="60" w:type="dxa"/>
            </w:tcMar>
          </w:tcPr>
          <w:p w14:paraId="05A529E4" w14:textId="77777777" w:rsidR="00D9408B" w:rsidRDefault="00D9408B" w:rsidP="00BD5746">
            <w:pPr>
              <w:pStyle w:val="table-e"/>
            </w:pPr>
            <w:r>
              <w:t>500 - 999</w:t>
            </w:r>
          </w:p>
        </w:tc>
        <w:tc>
          <w:tcPr>
            <w:tcW w:w="1320" w:type="dxa"/>
            <w:tcMar>
              <w:left w:w="60" w:type="dxa"/>
              <w:right w:w="60" w:type="dxa"/>
            </w:tcMar>
          </w:tcPr>
          <w:p w14:paraId="2C44CF98" w14:textId="77777777" w:rsidR="00D9408B" w:rsidRDefault="00D9408B" w:rsidP="00BD5746">
            <w:pPr>
              <w:pStyle w:val="table-e"/>
              <w:jc w:val="right"/>
            </w:pPr>
            <w:r>
              <w:t>1</w:t>
            </w:r>
          </w:p>
        </w:tc>
        <w:tc>
          <w:tcPr>
            <w:tcW w:w="1080" w:type="dxa"/>
            <w:tcMar>
              <w:left w:w="60" w:type="dxa"/>
              <w:right w:w="60" w:type="dxa"/>
            </w:tcMar>
          </w:tcPr>
          <w:p w14:paraId="66DCC3CC" w14:textId="77777777" w:rsidR="00D9408B" w:rsidRDefault="00D9408B" w:rsidP="00BD5746">
            <w:pPr>
              <w:pStyle w:val="table-e"/>
              <w:jc w:val="right"/>
            </w:pPr>
            <w:r>
              <w:t>3</w:t>
            </w:r>
          </w:p>
        </w:tc>
        <w:tc>
          <w:tcPr>
            <w:tcW w:w="1080" w:type="dxa"/>
            <w:tcMar>
              <w:left w:w="60" w:type="dxa"/>
              <w:right w:w="60" w:type="dxa"/>
            </w:tcMar>
          </w:tcPr>
          <w:p w14:paraId="3E50512F" w14:textId="77777777" w:rsidR="00D9408B" w:rsidRDefault="00D9408B" w:rsidP="00BD5746">
            <w:pPr>
              <w:pStyle w:val="table-e"/>
              <w:jc w:val="right"/>
            </w:pPr>
            <w:r>
              <w:t>4</w:t>
            </w:r>
          </w:p>
        </w:tc>
        <w:tc>
          <w:tcPr>
            <w:tcW w:w="1080" w:type="dxa"/>
            <w:tcMar>
              <w:left w:w="60" w:type="dxa"/>
              <w:right w:w="60" w:type="dxa"/>
            </w:tcMar>
          </w:tcPr>
          <w:p w14:paraId="2A475D61" w14:textId="77777777" w:rsidR="00D9408B" w:rsidRDefault="00D9408B" w:rsidP="00BD5746">
            <w:pPr>
              <w:pStyle w:val="table-e"/>
              <w:jc w:val="right"/>
            </w:pPr>
            <w:r>
              <w:t>4</w:t>
            </w:r>
          </w:p>
        </w:tc>
        <w:tc>
          <w:tcPr>
            <w:tcW w:w="960" w:type="dxa"/>
            <w:tcMar>
              <w:left w:w="60" w:type="dxa"/>
              <w:right w:w="60" w:type="dxa"/>
            </w:tcMar>
          </w:tcPr>
          <w:p w14:paraId="0ED61BE5" w14:textId="77777777" w:rsidR="00D9408B" w:rsidRDefault="00D9408B" w:rsidP="00BD5746">
            <w:pPr>
              <w:pStyle w:val="table-e"/>
              <w:jc w:val="right"/>
            </w:pPr>
            <w:r>
              <w:t>4</w:t>
            </w:r>
          </w:p>
        </w:tc>
        <w:tc>
          <w:tcPr>
            <w:tcW w:w="1080" w:type="dxa"/>
            <w:tcMar>
              <w:left w:w="60" w:type="dxa"/>
              <w:right w:w="60" w:type="dxa"/>
            </w:tcMar>
          </w:tcPr>
          <w:p w14:paraId="46F8E8DF" w14:textId="77777777" w:rsidR="00D9408B" w:rsidRDefault="00D9408B" w:rsidP="00BD5746">
            <w:pPr>
              <w:pStyle w:val="table-e"/>
              <w:jc w:val="right"/>
            </w:pPr>
            <w:r>
              <w:t>5</w:t>
            </w:r>
          </w:p>
        </w:tc>
        <w:tc>
          <w:tcPr>
            <w:tcW w:w="1080" w:type="dxa"/>
            <w:tcMar>
              <w:left w:w="60" w:type="dxa"/>
              <w:right w:w="60" w:type="dxa"/>
            </w:tcMar>
          </w:tcPr>
          <w:p w14:paraId="560A9431" w14:textId="77777777" w:rsidR="00D9408B" w:rsidRDefault="00D9408B" w:rsidP="00BD5746">
            <w:pPr>
              <w:pStyle w:val="table-e"/>
              <w:jc w:val="right"/>
            </w:pPr>
            <w:r>
              <w:t>5</w:t>
            </w:r>
          </w:p>
        </w:tc>
      </w:tr>
      <w:tr w:rsidR="00D9408B" w14:paraId="23A128DC" w14:textId="77777777" w:rsidTr="00BD5746">
        <w:tc>
          <w:tcPr>
            <w:tcW w:w="2400" w:type="dxa"/>
            <w:tcMar>
              <w:left w:w="60" w:type="dxa"/>
              <w:right w:w="60" w:type="dxa"/>
            </w:tcMar>
          </w:tcPr>
          <w:p w14:paraId="3DB49F53" w14:textId="77777777" w:rsidR="00D9408B" w:rsidRDefault="00D9408B" w:rsidP="00BD5746">
            <w:pPr>
              <w:pStyle w:val="table-e"/>
            </w:pPr>
            <w:r>
              <w:t>200 - 499</w:t>
            </w:r>
          </w:p>
        </w:tc>
        <w:tc>
          <w:tcPr>
            <w:tcW w:w="1320" w:type="dxa"/>
            <w:tcMar>
              <w:left w:w="60" w:type="dxa"/>
              <w:right w:w="60" w:type="dxa"/>
            </w:tcMar>
          </w:tcPr>
          <w:p w14:paraId="5550FFCE" w14:textId="77777777" w:rsidR="00D9408B" w:rsidRDefault="00D9408B" w:rsidP="00BD5746">
            <w:pPr>
              <w:pStyle w:val="table-e"/>
              <w:jc w:val="right"/>
            </w:pPr>
            <w:r>
              <w:t>1</w:t>
            </w:r>
          </w:p>
        </w:tc>
        <w:tc>
          <w:tcPr>
            <w:tcW w:w="1080" w:type="dxa"/>
            <w:tcMar>
              <w:left w:w="60" w:type="dxa"/>
              <w:right w:w="60" w:type="dxa"/>
            </w:tcMar>
          </w:tcPr>
          <w:p w14:paraId="1F7254B5" w14:textId="77777777" w:rsidR="00D9408B" w:rsidRDefault="00D9408B" w:rsidP="00BD5746">
            <w:pPr>
              <w:pStyle w:val="table-e"/>
              <w:jc w:val="right"/>
            </w:pPr>
            <w:r>
              <w:t>3</w:t>
            </w:r>
          </w:p>
        </w:tc>
        <w:tc>
          <w:tcPr>
            <w:tcW w:w="1080" w:type="dxa"/>
            <w:tcMar>
              <w:left w:w="60" w:type="dxa"/>
              <w:right w:w="60" w:type="dxa"/>
            </w:tcMar>
          </w:tcPr>
          <w:p w14:paraId="0028798D" w14:textId="77777777" w:rsidR="00D9408B" w:rsidRDefault="00D9408B" w:rsidP="00BD5746">
            <w:pPr>
              <w:pStyle w:val="table-e"/>
              <w:jc w:val="right"/>
            </w:pPr>
            <w:r>
              <w:t>4</w:t>
            </w:r>
          </w:p>
        </w:tc>
        <w:tc>
          <w:tcPr>
            <w:tcW w:w="1080" w:type="dxa"/>
            <w:tcMar>
              <w:left w:w="60" w:type="dxa"/>
              <w:right w:w="60" w:type="dxa"/>
            </w:tcMar>
          </w:tcPr>
          <w:p w14:paraId="2BCBC8E0" w14:textId="77777777" w:rsidR="00D9408B" w:rsidRDefault="00D9408B" w:rsidP="00BD5746">
            <w:pPr>
              <w:pStyle w:val="table-e"/>
              <w:jc w:val="right"/>
            </w:pPr>
            <w:r>
              <w:t>4</w:t>
            </w:r>
          </w:p>
        </w:tc>
        <w:tc>
          <w:tcPr>
            <w:tcW w:w="960" w:type="dxa"/>
            <w:tcMar>
              <w:left w:w="60" w:type="dxa"/>
              <w:right w:w="60" w:type="dxa"/>
            </w:tcMar>
          </w:tcPr>
          <w:p w14:paraId="43E60B20" w14:textId="77777777" w:rsidR="00D9408B" w:rsidRDefault="00D9408B" w:rsidP="00BD5746">
            <w:pPr>
              <w:pStyle w:val="table-e"/>
              <w:jc w:val="right"/>
            </w:pPr>
            <w:r>
              <w:t>5</w:t>
            </w:r>
          </w:p>
        </w:tc>
        <w:tc>
          <w:tcPr>
            <w:tcW w:w="1080" w:type="dxa"/>
            <w:tcMar>
              <w:left w:w="60" w:type="dxa"/>
              <w:right w:w="60" w:type="dxa"/>
            </w:tcMar>
          </w:tcPr>
          <w:p w14:paraId="6B459301" w14:textId="77777777" w:rsidR="00D9408B" w:rsidRDefault="00D9408B" w:rsidP="00BD5746">
            <w:pPr>
              <w:pStyle w:val="table-e"/>
              <w:jc w:val="right"/>
            </w:pPr>
            <w:r>
              <w:t>5</w:t>
            </w:r>
          </w:p>
        </w:tc>
        <w:tc>
          <w:tcPr>
            <w:tcW w:w="1080" w:type="dxa"/>
            <w:tcMar>
              <w:left w:w="60" w:type="dxa"/>
              <w:right w:w="60" w:type="dxa"/>
            </w:tcMar>
          </w:tcPr>
          <w:p w14:paraId="67257908" w14:textId="77777777" w:rsidR="00D9408B" w:rsidRDefault="00D9408B" w:rsidP="00BD5746">
            <w:pPr>
              <w:pStyle w:val="table-e"/>
              <w:jc w:val="right"/>
            </w:pPr>
            <w:r>
              <w:t>6</w:t>
            </w:r>
          </w:p>
        </w:tc>
      </w:tr>
      <w:tr w:rsidR="00D9408B" w14:paraId="7B30F26D" w14:textId="77777777" w:rsidTr="00BD5746">
        <w:tc>
          <w:tcPr>
            <w:tcW w:w="2400" w:type="dxa"/>
            <w:tcMar>
              <w:left w:w="60" w:type="dxa"/>
              <w:right w:w="60" w:type="dxa"/>
            </w:tcMar>
          </w:tcPr>
          <w:p w14:paraId="78A94A8C" w14:textId="77777777" w:rsidR="00D9408B" w:rsidRDefault="00D9408B" w:rsidP="00BD5746">
            <w:pPr>
              <w:pStyle w:val="table-e"/>
            </w:pPr>
            <w:r>
              <w:t>50 - 199</w:t>
            </w:r>
          </w:p>
        </w:tc>
        <w:tc>
          <w:tcPr>
            <w:tcW w:w="1320" w:type="dxa"/>
            <w:tcMar>
              <w:left w:w="60" w:type="dxa"/>
              <w:right w:w="60" w:type="dxa"/>
            </w:tcMar>
          </w:tcPr>
          <w:p w14:paraId="119DD9C5" w14:textId="77777777" w:rsidR="00D9408B" w:rsidRDefault="00D9408B" w:rsidP="00BD5746">
            <w:pPr>
              <w:pStyle w:val="table-e"/>
              <w:jc w:val="right"/>
            </w:pPr>
            <w:r>
              <w:t>1</w:t>
            </w:r>
          </w:p>
        </w:tc>
        <w:tc>
          <w:tcPr>
            <w:tcW w:w="1080" w:type="dxa"/>
            <w:tcMar>
              <w:left w:w="60" w:type="dxa"/>
              <w:right w:w="60" w:type="dxa"/>
            </w:tcMar>
          </w:tcPr>
          <w:p w14:paraId="6FB8063F" w14:textId="77777777" w:rsidR="00D9408B" w:rsidRDefault="00D9408B" w:rsidP="00BD5746">
            <w:pPr>
              <w:pStyle w:val="table-e"/>
              <w:jc w:val="right"/>
            </w:pPr>
            <w:r>
              <w:t>3</w:t>
            </w:r>
          </w:p>
        </w:tc>
        <w:tc>
          <w:tcPr>
            <w:tcW w:w="1080" w:type="dxa"/>
            <w:tcMar>
              <w:left w:w="60" w:type="dxa"/>
              <w:right w:w="60" w:type="dxa"/>
            </w:tcMar>
          </w:tcPr>
          <w:p w14:paraId="01D49B1F" w14:textId="77777777" w:rsidR="00D9408B" w:rsidRDefault="00D9408B" w:rsidP="00BD5746">
            <w:pPr>
              <w:pStyle w:val="table-e"/>
              <w:jc w:val="right"/>
            </w:pPr>
            <w:r>
              <w:t>4</w:t>
            </w:r>
          </w:p>
        </w:tc>
        <w:tc>
          <w:tcPr>
            <w:tcW w:w="1080" w:type="dxa"/>
            <w:tcMar>
              <w:left w:w="60" w:type="dxa"/>
              <w:right w:w="60" w:type="dxa"/>
            </w:tcMar>
          </w:tcPr>
          <w:p w14:paraId="544FAE08" w14:textId="77777777" w:rsidR="00D9408B" w:rsidRDefault="00D9408B" w:rsidP="00BD5746">
            <w:pPr>
              <w:pStyle w:val="table-e"/>
              <w:jc w:val="right"/>
            </w:pPr>
            <w:r>
              <w:t>5</w:t>
            </w:r>
          </w:p>
        </w:tc>
        <w:tc>
          <w:tcPr>
            <w:tcW w:w="960" w:type="dxa"/>
            <w:tcMar>
              <w:left w:w="60" w:type="dxa"/>
              <w:right w:w="60" w:type="dxa"/>
            </w:tcMar>
          </w:tcPr>
          <w:p w14:paraId="0FD44479" w14:textId="77777777" w:rsidR="00D9408B" w:rsidRDefault="00D9408B" w:rsidP="00BD5746">
            <w:pPr>
              <w:pStyle w:val="table-e"/>
              <w:jc w:val="right"/>
            </w:pPr>
            <w:r>
              <w:t>5</w:t>
            </w:r>
          </w:p>
        </w:tc>
        <w:tc>
          <w:tcPr>
            <w:tcW w:w="1080" w:type="dxa"/>
            <w:tcMar>
              <w:left w:w="60" w:type="dxa"/>
              <w:right w:w="60" w:type="dxa"/>
            </w:tcMar>
          </w:tcPr>
          <w:p w14:paraId="5D539F16" w14:textId="77777777" w:rsidR="00D9408B" w:rsidRDefault="00D9408B" w:rsidP="00BD5746">
            <w:pPr>
              <w:pStyle w:val="table-e"/>
              <w:jc w:val="right"/>
            </w:pPr>
            <w:r>
              <w:t>6</w:t>
            </w:r>
          </w:p>
        </w:tc>
        <w:tc>
          <w:tcPr>
            <w:tcW w:w="1080" w:type="dxa"/>
            <w:tcMar>
              <w:left w:w="60" w:type="dxa"/>
              <w:right w:w="60" w:type="dxa"/>
            </w:tcMar>
          </w:tcPr>
          <w:p w14:paraId="6C0AF39E" w14:textId="77777777" w:rsidR="00D9408B" w:rsidRDefault="00D9408B" w:rsidP="00BD5746">
            <w:pPr>
              <w:pStyle w:val="table-e"/>
              <w:jc w:val="right"/>
            </w:pPr>
            <w:r>
              <w:t>6</w:t>
            </w:r>
          </w:p>
        </w:tc>
      </w:tr>
      <w:tr w:rsidR="00D9408B" w14:paraId="12484259" w14:textId="77777777" w:rsidTr="00BD5746">
        <w:tc>
          <w:tcPr>
            <w:tcW w:w="2400" w:type="dxa"/>
            <w:tcMar>
              <w:left w:w="60" w:type="dxa"/>
              <w:right w:w="60" w:type="dxa"/>
            </w:tcMar>
          </w:tcPr>
          <w:p w14:paraId="1FD12D85" w14:textId="77777777" w:rsidR="00D9408B" w:rsidRDefault="00D9408B" w:rsidP="00BD5746">
            <w:pPr>
              <w:pStyle w:val="table-e"/>
            </w:pPr>
            <w:r>
              <w:t>0 - 49</w:t>
            </w:r>
          </w:p>
        </w:tc>
        <w:tc>
          <w:tcPr>
            <w:tcW w:w="1320" w:type="dxa"/>
            <w:tcMar>
              <w:left w:w="60" w:type="dxa"/>
              <w:right w:w="60" w:type="dxa"/>
            </w:tcMar>
          </w:tcPr>
          <w:p w14:paraId="36CC0CC7" w14:textId="77777777" w:rsidR="00D9408B" w:rsidRDefault="00D9408B" w:rsidP="00BD5746">
            <w:pPr>
              <w:pStyle w:val="table-e"/>
              <w:jc w:val="right"/>
            </w:pPr>
            <w:r>
              <w:t>1</w:t>
            </w:r>
          </w:p>
        </w:tc>
        <w:tc>
          <w:tcPr>
            <w:tcW w:w="1080" w:type="dxa"/>
            <w:tcMar>
              <w:left w:w="60" w:type="dxa"/>
              <w:right w:w="60" w:type="dxa"/>
            </w:tcMar>
          </w:tcPr>
          <w:p w14:paraId="4D12F061" w14:textId="77777777" w:rsidR="00D9408B" w:rsidRDefault="00D9408B" w:rsidP="00BD5746">
            <w:pPr>
              <w:pStyle w:val="table-e"/>
              <w:jc w:val="right"/>
            </w:pPr>
            <w:r>
              <w:t>3</w:t>
            </w:r>
          </w:p>
        </w:tc>
        <w:tc>
          <w:tcPr>
            <w:tcW w:w="1080" w:type="dxa"/>
            <w:tcMar>
              <w:left w:w="60" w:type="dxa"/>
              <w:right w:w="60" w:type="dxa"/>
            </w:tcMar>
          </w:tcPr>
          <w:p w14:paraId="6A9C9B04" w14:textId="77777777" w:rsidR="00D9408B" w:rsidRDefault="00D9408B" w:rsidP="00BD5746">
            <w:pPr>
              <w:pStyle w:val="table-e"/>
              <w:jc w:val="right"/>
            </w:pPr>
            <w:r>
              <w:t>6</w:t>
            </w:r>
          </w:p>
        </w:tc>
        <w:tc>
          <w:tcPr>
            <w:tcW w:w="1080" w:type="dxa"/>
            <w:tcMar>
              <w:left w:w="60" w:type="dxa"/>
              <w:right w:w="60" w:type="dxa"/>
            </w:tcMar>
          </w:tcPr>
          <w:p w14:paraId="14F3EA3B" w14:textId="77777777" w:rsidR="00D9408B" w:rsidRDefault="00D9408B" w:rsidP="00BD5746">
            <w:pPr>
              <w:pStyle w:val="table-e"/>
              <w:jc w:val="right"/>
            </w:pPr>
            <w:r>
              <w:t>6</w:t>
            </w:r>
          </w:p>
        </w:tc>
        <w:tc>
          <w:tcPr>
            <w:tcW w:w="960" w:type="dxa"/>
            <w:tcMar>
              <w:left w:w="60" w:type="dxa"/>
              <w:right w:w="60" w:type="dxa"/>
            </w:tcMar>
          </w:tcPr>
          <w:p w14:paraId="6C6DA3FC" w14:textId="77777777" w:rsidR="00D9408B" w:rsidRDefault="00D9408B" w:rsidP="00BD5746">
            <w:pPr>
              <w:pStyle w:val="table-e"/>
              <w:jc w:val="right"/>
            </w:pPr>
            <w:r>
              <w:t>6</w:t>
            </w:r>
          </w:p>
        </w:tc>
        <w:tc>
          <w:tcPr>
            <w:tcW w:w="1080" w:type="dxa"/>
            <w:tcMar>
              <w:left w:w="60" w:type="dxa"/>
              <w:right w:w="60" w:type="dxa"/>
            </w:tcMar>
          </w:tcPr>
          <w:p w14:paraId="4538F07C" w14:textId="77777777" w:rsidR="00D9408B" w:rsidRDefault="00D9408B" w:rsidP="00BD5746">
            <w:pPr>
              <w:pStyle w:val="table-e"/>
              <w:jc w:val="right"/>
            </w:pPr>
            <w:r>
              <w:t>6</w:t>
            </w:r>
          </w:p>
        </w:tc>
        <w:tc>
          <w:tcPr>
            <w:tcW w:w="1080" w:type="dxa"/>
            <w:tcMar>
              <w:left w:w="60" w:type="dxa"/>
              <w:right w:w="60" w:type="dxa"/>
            </w:tcMar>
          </w:tcPr>
          <w:p w14:paraId="346E9B4A" w14:textId="77777777" w:rsidR="00D9408B" w:rsidRDefault="00D9408B" w:rsidP="00BD5746">
            <w:pPr>
              <w:pStyle w:val="table-e"/>
              <w:jc w:val="right"/>
            </w:pPr>
            <w:r>
              <w:t>6</w:t>
            </w:r>
          </w:p>
        </w:tc>
      </w:tr>
    </w:tbl>
    <w:p w14:paraId="79260959" w14:textId="77777777" w:rsidR="00D9408B" w:rsidRDefault="00D9408B" w:rsidP="00D9408B">
      <w:pPr>
        <w:pStyle w:val="footnote-e"/>
      </w:pPr>
      <w:r>
        <w:t>O. Reg. 366</w:t>
      </w:r>
      <w:r>
        <w:rPr>
          <w:lang w:val="en-CA"/>
        </w:rPr>
        <w:t>/18</w:t>
      </w:r>
      <w:r>
        <w:t>, s. 1 (5).</w:t>
      </w:r>
    </w:p>
    <w:p w14:paraId="040121C1" w14:textId="77777777" w:rsidR="00A94263" w:rsidRDefault="00A94263" w:rsidP="00A94263">
      <w:pPr>
        <w:ind w:left="720"/>
        <w:jc w:val="both"/>
        <w:rPr>
          <w:bCs/>
          <w:sz w:val="22"/>
        </w:rPr>
      </w:pPr>
      <w:r>
        <w:rPr>
          <w:bCs/>
          <w:sz w:val="22"/>
        </w:rPr>
        <w:t>Roads classifications shall be based on Table 1 utilizing the ADDT volumes collected within the City’s current roads need study.</w:t>
      </w:r>
    </w:p>
    <w:p w14:paraId="3DC6396D" w14:textId="77777777" w:rsidR="00A94263" w:rsidRDefault="00A94263" w:rsidP="00A94263">
      <w:pPr>
        <w:ind w:left="720"/>
        <w:jc w:val="both"/>
        <w:rPr>
          <w:bCs/>
          <w:sz w:val="22"/>
        </w:rPr>
      </w:pPr>
      <w:r>
        <w:rPr>
          <w:bCs/>
          <w:sz w:val="22"/>
        </w:rPr>
        <w:t>The Director of Public Works and</w:t>
      </w:r>
      <w:r w:rsidR="005C7AA1">
        <w:rPr>
          <w:bCs/>
          <w:sz w:val="22"/>
        </w:rPr>
        <w:t xml:space="preserve"> The Director of</w:t>
      </w:r>
      <w:r>
        <w:rPr>
          <w:bCs/>
          <w:sz w:val="22"/>
        </w:rPr>
        <w:t xml:space="preserve"> Engineering &amp; Corporate Assets may increase the classification of a road or portion thereof by one level where terrain or other localized circumstances have a significant </w:t>
      </w:r>
      <w:proofErr w:type="spellStart"/>
      <w:r>
        <w:rPr>
          <w:bCs/>
          <w:sz w:val="22"/>
        </w:rPr>
        <w:t>affect</w:t>
      </w:r>
      <w:proofErr w:type="spellEnd"/>
      <w:r>
        <w:rPr>
          <w:bCs/>
          <w:sz w:val="22"/>
        </w:rPr>
        <w:t xml:space="preserve"> of driving conditions and in his or her opinion the classification as defined above does not result in a level of service for any maintenance activity that is adequate to satisfy the requirements for public safety.</w:t>
      </w:r>
    </w:p>
    <w:p w14:paraId="2B521860" w14:textId="77777777" w:rsidR="00D617CA" w:rsidRPr="00D617CA" w:rsidRDefault="00D617CA" w:rsidP="00D617CA">
      <w:pPr>
        <w:keepNext/>
        <w:keepLines/>
        <w:outlineLvl w:val="0"/>
        <w:rPr>
          <w:rFonts w:eastAsiaTheme="majorEastAsia" w:cstheme="majorBidi"/>
          <w:b/>
          <w:bCs/>
          <w:sz w:val="28"/>
          <w:szCs w:val="28"/>
        </w:rPr>
      </w:pPr>
      <w:r w:rsidRPr="00D617CA">
        <w:rPr>
          <w:rFonts w:eastAsiaTheme="majorEastAsia" w:cstheme="majorBidi"/>
          <w:b/>
          <w:bCs/>
          <w:sz w:val="28"/>
          <w:szCs w:val="28"/>
        </w:rPr>
        <w:t>Revision History:</w:t>
      </w:r>
    </w:p>
    <w:p w14:paraId="077DEA3A" w14:textId="77777777" w:rsidR="00D617CA" w:rsidRPr="00D617CA" w:rsidRDefault="00D617CA" w:rsidP="00D617CA">
      <w:pPr>
        <w:keepNext/>
        <w:jc w:val="both"/>
        <w:rPr>
          <w:rFonts w:cs="Arial"/>
          <w:bCs/>
        </w:rPr>
      </w:pPr>
      <w:r w:rsidRPr="00D617CA">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324"/>
        <w:gridCol w:w="3933"/>
        <w:gridCol w:w="2160"/>
      </w:tblGrid>
      <w:tr w:rsidR="00D617CA" w:rsidRPr="00D617CA" w14:paraId="00234F86" w14:textId="77777777" w:rsidTr="0041043E">
        <w:trPr>
          <w:trHeight w:val="485"/>
        </w:trPr>
        <w:tc>
          <w:tcPr>
            <w:tcW w:w="1217" w:type="dxa"/>
            <w:shd w:val="clear" w:color="auto" w:fill="auto"/>
            <w:vAlign w:val="center"/>
          </w:tcPr>
          <w:p w14:paraId="048F7443" w14:textId="77777777" w:rsidR="00D617CA" w:rsidRPr="00D617CA" w:rsidRDefault="00D617CA" w:rsidP="00D617CA">
            <w:pPr>
              <w:spacing w:before="0" w:after="0"/>
              <w:jc w:val="center"/>
              <w:rPr>
                <w:rFonts w:cs="Arial"/>
                <w:b/>
                <w:bCs/>
              </w:rPr>
            </w:pPr>
            <w:r w:rsidRPr="00D617CA">
              <w:rPr>
                <w:rFonts w:cs="Arial"/>
                <w:b/>
                <w:bCs/>
              </w:rPr>
              <w:t>Revision</w:t>
            </w:r>
          </w:p>
        </w:tc>
        <w:tc>
          <w:tcPr>
            <w:tcW w:w="1324" w:type="dxa"/>
            <w:shd w:val="clear" w:color="auto" w:fill="auto"/>
            <w:vAlign w:val="center"/>
          </w:tcPr>
          <w:p w14:paraId="0E6BE2DE" w14:textId="77777777" w:rsidR="00D617CA" w:rsidRPr="00D617CA" w:rsidRDefault="00D617CA" w:rsidP="00D617CA">
            <w:pPr>
              <w:spacing w:before="0" w:after="0"/>
              <w:jc w:val="center"/>
              <w:rPr>
                <w:rFonts w:cs="Arial"/>
                <w:b/>
                <w:bCs/>
              </w:rPr>
            </w:pPr>
            <w:r w:rsidRPr="00D617CA">
              <w:rPr>
                <w:rFonts w:cs="Arial"/>
                <w:b/>
                <w:bCs/>
              </w:rPr>
              <w:t>Date</w:t>
            </w:r>
          </w:p>
        </w:tc>
        <w:tc>
          <w:tcPr>
            <w:tcW w:w="3933" w:type="dxa"/>
            <w:shd w:val="clear" w:color="auto" w:fill="auto"/>
            <w:vAlign w:val="center"/>
          </w:tcPr>
          <w:p w14:paraId="5BEB1EC9" w14:textId="77777777" w:rsidR="00D617CA" w:rsidRPr="00D617CA" w:rsidRDefault="00D617CA" w:rsidP="00D617CA">
            <w:pPr>
              <w:spacing w:before="0" w:after="0"/>
              <w:jc w:val="center"/>
              <w:rPr>
                <w:rFonts w:cs="Arial"/>
                <w:b/>
                <w:bCs/>
              </w:rPr>
            </w:pPr>
            <w:r w:rsidRPr="00D617CA">
              <w:rPr>
                <w:rFonts w:cs="Arial"/>
                <w:b/>
                <w:bCs/>
              </w:rPr>
              <w:t>Description of changes</w:t>
            </w:r>
          </w:p>
        </w:tc>
        <w:tc>
          <w:tcPr>
            <w:tcW w:w="2160" w:type="dxa"/>
            <w:shd w:val="clear" w:color="auto" w:fill="auto"/>
            <w:vAlign w:val="center"/>
          </w:tcPr>
          <w:p w14:paraId="6608F170" w14:textId="77777777" w:rsidR="00D617CA" w:rsidRPr="00D617CA" w:rsidRDefault="00D617CA" w:rsidP="00D617CA">
            <w:pPr>
              <w:spacing w:before="0" w:after="0"/>
              <w:jc w:val="center"/>
              <w:rPr>
                <w:rFonts w:cs="Arial"/>
                <w:b/>
                <w:bCs/>
              </w:rPr>
            </w:pPr>
            <w:r w:rsidRPr="00D617CA">
              <w:rPr>
                <w:rFonts w:cs="Arial"/>
                <w:b/>
                <w:bCs/>
              </w:rPr>
              <w:t>Requested By</w:t>
            </w:r>
          </w:p>
        </w:tc>
      </w:tr>
      <w:tr w:rsidR="00D617CA" w:rsidRPr="00D617CA" w14:paraId="60FBFCE9" w14:textId="77777777" w:rsidTr="0041043E">
        <w:trPr>
          <w:trHeight w:val="432"/>
        </w:trPr>
        <w:tc>
          <w:tcPr>
            <w:tcW w:w="1217" w:type="dxa"/>
            <w:vAlign w:val="center"/>
          </w:tcPr>
          <w:p w14:paraId="65AE887E" w14:textId="77777777" w:rsidR="00D617CA" w:rsidRPr="00D617CA" w:rsidRDefault="00D617CA" w:rsidP="00D617CA">
            <w:pPr>
              <w:spacing w:before="0" w:after="0"/>
              <w:rPr>
                <w:rFonts w:cs="Arial"/>
              </w:rPr>
            </w:pPr>
            <w:r w:rsidRPr="00D617CA">
              <w:rPr>
                <w:rFonts w:cs="Arial"/>
              </w:rPr>
              <w:t>0.0</w:t>
            </w:r>
          </w:p>
        </w:tc>
        <w:tc>
          <w:tcPr>
            <w:tcW w:w="1324" w:type="dxa"/>
            <w:vAlign w:val="center"/>
          </w:tcPr>
          <w:p w14:paraId="73B7282F" w14:textId="77777777" w:rsidR="00D617CA" w:rsidRPr="00D617CA" w:rsidRDefault="00D617CA" w:rsidP="00D617CA">
            <w:pPr>
              <w:spacing w:before="0" w:after="0"/>
              <w:rPr>
                <w:rFonts w:cs="Arial"/>
              </w:rPr>
            </w:pPr>
            <w:r w:rsidRPr="00D617CA">
              <w:rPr>
                <w:rFonts w:cs="Arial"/>
              </w:rPr>
              <w:t>November 29, 2005</w:t>
            </w:r>
          </w:p>
        </w:tc>
        <w:tc>
          <w:tcPr>
            <w:tcW w:w="3933" w:type="dxa"/>
            <w:vAlign w:val="center"/>
          </w:tcPr>
          <w:p w14:paraId="548D7634" w14:textId="77777777" w:rsidR="00D617CA" w:rsidRPr="00D617CA" w:rsidRDefault="00D617CA" w:rsidP="00D617CA">
            <w:pPr>
              <w:spacing w:before="0" w:after="0"/>
              <w:rPr>
                <w:rFonts w:cs="Arial"/>
              </w:rPr>
            </w:pPr>
            <w:r w:rsidRPr="00D617CA">
              <w:rPr>
                <w:rFonts w:cs="Arial"/>
              </w:rPr>
              <w:t>Initial Release as 123 EPW 009</w:t>
            </w:r>
          </w:p>
        </w:tc>
        <w:tc>
          <w:tcPr>
            <w:tcW w:w="2160" w:type="dxa"/>
            <w:vAlign w:val="center"/>
          </w:tcPr>
          <w:p w14:paraId="51FC8EB8" w14:textId="77777777" w:rsidR="00D617CA" w:rsidRPr="00D617CA" w:rsidRDefault="00D617CA" w:rsidP="00D617CA">
            <w:pPr>
              <w:spacing w:before="0" w:after="0"/>
              <w:rPr>
                <w:rFonts w:cs="Arial"/>
              </w:rPr>
            </w:pPr>
            <w:r w:rsidRPr="00D617CA">
              <w:rPr>
                <w:rFonts w:cs="Arial"/>
              </w:rPr>
              <w:t xml:space="preserve">Kenneth </w:t>
            </w:r>
            <w:proofErr w:type="spellStart"/>
            <w:r w:rsidRPr="00D617CA">
              <w:rPr>
                <w:rFonts w:cs="Arial"/>
              </w:rPr>
              <w:t>Becking</w:t>
            </w:r>
            <w:proofErr w:type="spellEnd"/>
          </w:p>
        </w:tc>
      </w:tr>
      <w:tr w:rsidR="00D617CA" w:rsidRPr="00D617CA" w14:paraId="33D2D539" w14:textId="77777777" w:rsidTr="0041043E">
        <w:trPr>
          <w:trHeight w:val="432"/>
        </w:trPr>
        <w:tc>
          <w:tcPr>
            <w:tcW w:w="1217" w:type="dxa"/>
            <w:vAlign w:val="center"/>
          </w:tcPr>
          <w:p w14:paraId="3E226F34" w14:textId="77777777" w:rsidR="00D617CA" w:rsidRPr="00D617CA" w:rsidRDefault="00D617CA" w:rsidP="00D617CA">
            <w:pPr>
              <w:spacing w:before="0" w:after="0"/>
              <w:rPr>
                <w:rFonts w:cs="Arial"/>
              </w:rPr>
            </w:pPr>
            <w:r w:rsidRPr="00D617CA">
              <w:rPr>
                <w:rFonts w:cs="Arial"/>
              </w:rPr>
              <w:t>1.0</w:t>
            </w:r>
          </w:p>
        </w:tc>
        <w:tc>
          <w:tcPr>
            <w:tcW w:w="1324" w:type="dxa"/>
            <w:vAlign w:val="center"/>
          </w:tcPr>
          <w:p w14:paraId="4A1101B2" w14:textId="77777777" w:rsidR="00D617CA" w:rsidRPr="00D617CA" w:rsidRDefault="00D617CA" w:rsidP="00D617CA">
            <w:pPr>
              <w:spacing w:before="0" w:after="0"/>
              <w:rPr>
                <w:rFonts w:cs="Arial"/>
              </w:rPr>
            </w:pPr>
            <w:r w:rsidRPr="00D617CA">
              <w:rPr>
                <w:rFonts w:cs="Arial"/>
              </w:rPr>
              <w:t>July 17, 2018</w:t>
            </w:r>
          </w:p>
        </w:tc>
        <w:tc>
          <w:tcPr>
            <w:tcW w:w="3933" w:type="dxa"/>
            <w:vAlign w:val="center"/>
          </w:tcPr>
          <w:p w14:paraId="097AE169" w14:textId="77777777" w:rsidR="00D617CA" w:rsidRPr="00D617CA" w:rsidRDefault="00D617CA" w:rsidP="00D617CA">
            <w:pPr>
              <w:spacing w:before="0" w:after="0"/>
              <w:rPr>
                <w:rFonts w:cs="Arial"/>
              </w:rPr>
            </w:pPr>
            <w:r w:rsidRPr="00D617CA">
              <w:rPr>
                <w:rFonts w:cs="Arial"/>
              </w:rPr>
              <w:t>Updated and renumbered as per new Policy system</w:t>
            </w:r>
          </w:p>
        </w:tc>
        <w:tc>
          <w:tcPr>
            <w:tcW w:w="2160" w:type="dxa"/>
            <w:vAlign w:val="center"/>
          </w:tcPr>
          <w:p w14:paraId="4A262128" w14:textId="77777777" w:rsidR="00D617CA" w:rsidRPr="00D617CA" w:rsidRDefault="00D617CA" w:rsidP="00D617CA">
            <w:pPr>
              <w:spacing w:before="0" w:after="0"/>
              <w:rPr>
                <w:rFonts w:cs="Arial"/>
              </w:rPr>
            </w:pPr>
            <w:r w:rsidRPr="00D617CA">
              <w:rPr>
                <w:rFonts w:cs="Arial"/>
              </w:rPr>
              <w:t>Juan Rojas</w:t>
            </w:r>
          </w:p>
        </w:tc>
      </w:tr>
      <w:tr w:rsidR="00D617CA" w:rsidRPr="00D617CA" w14:paraId="4102BC24" w14:textId="77777777" w:rsidTr="0041043E">
        <w:trPr>
          <w:trHeight w:val="432"/>
        </w:trPr>
        <w:tc>
          <w:tcPr>
            <w:tcW w:w="1217" w:type="dxa"/>
            <w:vAlign w:val="center"/>
          </w:tcPr>
          <w:p w14:paraId="3A4AAF71" w14:textId="4D30D448" w:rsidR="00D617CA" w:rsidRPr="00D617CA" w:rsidRDefault="001B643C" w:rsidP="00D617CA">
            <w:pPr>
              <w:spacing w:before="0" w:after="0"/>
              <w:rPr>
                <w:rFonts w:cs="Arial"/>
              </w:rPr>
            </w:pPr>
            <w:r>
              <w:rPr>
                <w:rFonts w:cs="Arial"/>
              </w:rPr>
              <w:t>2</w:t>
            </w:r>
          </w:p>
        </w:tc>
        <w:tc>
          <w:tcPr>
            <w:tcW w:w="1324" w:type="dxa"/>
            <w:vAlign w:val="center"/>
          </w:tcPr>
          <w:p w14:paraId="5E3963AE" w14:textId="7B526171" w:rsidR="00D617CA" w:rsidRPr="00D617CA" w:rsidRDefault="001B643C" w:rsidP="00D617CA">
            <w:pPr>
              <w:spacing w:before="0" w:after="0"/>
              <w:rPr>
                <w:rFonts w:cs="Arial"/>
              </w:rPr>
            </w:pPr>
            <w:r>
              <w:rPr>
                <w:rFonts w:cs="Arial"/>
              </w:rPr>
              <w:t>October 19, 2021</w:t>
            </w:r>
          </w:p>
        </w:tc>
        <w:tc>
          <w:tcPr>
            <w:tcW w:w="3933" w:type="dxa"/>
            <w:vAlign w:val="center"/>
          </w:tcPr>
          <w:p w14:paraId="5AB1FE0C" w14:textId="16876C8F" w:rsidR="00D617CA" w:rsidRPr="00D617CA" w:rsidRDefault="001B643C" w:rsidP="00D617CA">
            <w:pPr>
              <w:spacing w:before="0" w:after="0"/>
              <w:rPr>
                <w:rFonts w:cs="Arial"/>
              </w:rPr>
            </w:pPr>
            <w:r>
              <w:rPr>
                <w:rFonts w:cs="Arial"/>
              </w:rPr>
              <w:t>Administrative Updates</w:t>
            </w:r>
          </w:p>
        </w:tc>
        <w:tc>
          <w:tcPr>
            <w:tcW w:w="2160" w:type="dxa"/>
            <w:vAlign w:val="center"/>
          </w:tcPr>
          <w:p w14:paraId="796C0B84" w14:textId="0D4BC750" w:rsidR="00D617CA" w:rsidRPr="00D617CA" w:rsidRDefault="001B643C" w:rsidP="00D617CA">
            <w:pPr>
              <w:spacing w:before="0" w:after="0"/>
              <w:rPr>
                <w:rFonts w:cs="Arial"/>
              </w:rPr>
            </w:pPr>
            <w:r>
              <w:rPr>
                <w:rFonts w:cs="Arial"/>
              </w:rPr>
              <w:t>Lisa Peimann</w:t>
            </w:r>
          </w:p>
        </w:tc>
      </w:tr>
    </w:tbl>
    <w:p w14:paraId="20F88E37" w14:textId="77777777" w:rsidR="00467795" w:rsidRDefault="00467795" w:rsidP="00D617CA"/>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A347" w14:textId="77777777" w:rsidR="00DC79CC" w:rsidRDefault="00DC79CC" w:rsidP="00226B10">
      <w:r>
        <w:separator/>
      </w:r>
    </w:p>
  </w:endnote>
  <w:endnote w:type="continuationSeparator" w:id="0">
    <w:p w14:paraId="776936FA" w14:textId="77777777" w:rsidR="00DC79CC" w:rsidRDefault="00DC79CC"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67F85193" w14:textId="03507C14" w:rsidR="00226B10" w:rsidRPr="00F95061" w:rsidRDefault="00300C5A" w:rsidP="00F95061">
            <w:pPr>
              <w:pStyle w:val="Footer"/>
              <w:jc w:val="right"/>
              <w:rPr>
                <w:rFonts w:cs="Arial"/>
                <w:sz w:val="20"/>
                <w:szCs w:val="20"/>
              </w:rPr>
            </w:pPr>
            <w:r>
              <w:rPr>
                <w:rFonts w:cs="Arial"/>
                <w:sz w:val="20"/>
                <w:szCs w:val="20"/>
              </w:rPr>
              <w:t>CP202</w:t>
            </w:r>
            <w:r w:rsidR="00CD1452">
              <w:rPr>
                <w:rFonts w:cs="Arial"/>
                <w:sz w:val="20"/>
                <w:szCs w:val="20"/>
              </w:rPr>
              <w:t>6</w:t>
            </w:r>
            <w:r>
              <w:rPr>
                <w:rFonts w:cs="Arial"/>
                <w:sz w:val="20"/>
                <w:szCs w:val="20"/>
              </w:rPr>
              <w:t>-04</w:t>
            </w:r>
            <w:r w:rsidR="00CD1452">
              <w:rPr>
                <w:rFonts w:cs="Arial"/>
                <w:sz w:val="20"/>
                <w:szCs w:val="20"/>
              </w:rPr>
              <w:t>6</w:t>
            </w:r>
            <w:r w:rsidR="00D617CA">
              <w:rPr>
                <w:rFonts w:cs="Arial"/>
                <w:sz w:val="20"/>
                <w:szCs w:val="20"/>
              </w:rPr>
              <w:t xml:space="preserve"> Roadway Classification System</w:t>
            </w:r>
            <w:r w:rsidR="00B62BB9">
              <w:rPr>
                <w:rFonts w:cs="Arial"/>
                <w:sz w:val="20"/>
                <w:szCs w:val="20"/>
              </w:rPr>
              <w:t xml:space="preserve">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A95DBA">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A95DBA">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C97C" w14:textId="77777777" w:rsidR="00DC79CC" w:rsidRDefault="00DC79CC" w:rsidP="00226B10">
      <w:r>
        <w:separator/>
      </w:r>
    </w:p>
  </w:footnote>
  <w:footnote w:type="continuationSeparator" w:id="0">
    <w:p w14:paraId="04BE6C84" w14:textId="77777777" w:rsidR="00DC79CC" w:rsidRDefault="00DC79CC"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29AA" w14:textId="77777777"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43144"/>
    <w:rsid w:val="00065EA2"/>
    <w:rsid w:val="000F2CCD"/>
    <w:rsid w:val="00170791"/>
    <w:rsid w:val="001B643C"/>
    <w:rsid w:val="00226B10"/>
    <w:rsid w:val="002A4BEF"/>
    <w:rsid w:val="002C3D22"/>
    <w:rsid w:val="00300C5A"/>
    <w:rsid w:val="00331815"/>
    <w:rsid w:val="003B3C67"/>
    <w:rsid w:val="003E69C2"/>
    <w:rsid w:val="00425202"/>
    <w:rsid w:val="0046540A"/>
    <w:rsid w:val="00467795"/>
    <w:rsid w:val="004A377A"/>
    <w:rsid w:val="004B297F"/>
    <w:rsid w:val="004B540D"/>
    <w:rsid w:val="00586C73"/>
    <w:rsid w:val="005B6831"/>
    <w:rsid w:val="005C7AA1"/>
    <w:rsid w:val="006470BE"/>
    <w:rsid w:val="006C50B4"/>
    <w:rsid w:val="006C6658"/>
    <w:rsid w:val="006E31BC"/>
    <w:rsid w:val="007A4E37"/>
    <w:rsid w:val="007F67E1"/>
    <w:rsid w:val="00856336"/>
    <w:rsid w:val="008E5E29"/>
    <w:rsid w:val="0090099E"/>
    <w:rsid w:val="009558C2"/>
    <w:rsid w:val="00962122"/>
    <w:rsid w:val="009D3584"/>
    <w:rsid w:val="009E5C06"/>
    <w:rsid w:val="009E7C86"/>
    <w:rsid w:val="00A07FCF"/>
    <w:rsid w:val="00A136DA"/>
    <w:rsid w:val="00A25754"/>
    <w:rsid w:val="00A94263"/>
    <w:rsid w:val="00A95DBA"/>
    <w:rsid w:val="00AB7367"/>
    <w:rsid w:val="00AC4A09"/>
    <w:rsid w:val="00B12CB8"/>
    <w:rsid w:val="00B5071F"/>
    <w:rsid w:val="00B614C0"/>
    <w:rsid w:val="00B62BB9"/>
    <w:rsid w:val="00C06DED"/>
    <w:rsid w:val="00C74F14"/>
    <w:rsid w:val="00CD1452"/>
    <w:rsid w:val="00D21202"/>
    <w:rsid w:val="00D617CA"/>
    <w:rsid w:val="00D744ED"/>
    <w:rsid w:val="00D9408B"/>
    <w:rsid w:val="00DC04AB"/>
    <w:rsid w:val="00DC2655"/>
    <w:rsid w:val="00DC79CC"/>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BDB913"/>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customStyle="1" w:styleId="footnote-e">
    <w:name w:val="footnote-e"/>
    <w:rsid w:val="00D9408B"/>
    <w:pPr>
      <w:tabs>
        <w:tab w:val="left" w:pos="0"/>
      </w:tabs>
      <w:spacing w:before="111" w:after="0" w:line="209" w:lineRule="exact"/>
      <w:jc w:val="right"/>
    </w:pPr>
    <w:rPr>
      <w:rFonts w:ascii="Times New Roman" w:eastAsia="Times New Roman" w:hAnsi="Times New Roman" w:cs="Times New Roman"/>
      <w:snapToGrid w:val="0"/>
      <w:sz w:val="20"/>
      <w:szCs w:val="20"/>
      <w:lang w:val="en-GB"/>
    </w:rPr>
  </w:style>
  <w:style w:type="paragraph" w:customStyle="1" w:styleId="headingx-e">
    <w:name w:val="headingx-e"/>
    <w:rsid w:val="00D9408B"/>
    <w:pPr>
      <w:keepNext/>
      <w:keepLines/>
      <w:tabs>
        <w:tab w:val="left" w:pos="0"/>
      </w:tabs>
      <w:suppressAutoHyphens/>
      <w:spacing w:before="150" w:after="0" w:line="209" w:lineRule="exact"/>
      <w:jc w:val="center"/>
    </w:pPr>
    <w:rPr>
      <w:rFonts w:ascii="Times New Roman" w:eastAsia="Times New Roman" w:hAnsi="Times New Roman" w:cs="Times New Roman"/>
      <w:caps/>
      <w:snapToGrid w:val="0"/>
      <w:sz w:val="19"/>
      <w:szCs w:val="20"/>
      <w:lang w:val="en-GB"/>
    </w:rPr>
  </w:style>
  <w:style w:type="paragraph" w:customStyle="1" w:styleId="table-e">
    <w:name w:val="table-e"/>
    <w:rsid w:val="00D9408B"/>
    <w:pPr>
      <w:suppressAutoHyphens/>
      <w:spacing w:before="11" w:after="0" w:line="189" w:lineRule="exact"/>
    </w:pPr>
    <w:rPr>
      <w:rFonts w:ascii="Times New Roman" w:eastAsia="Times New Roman" w:hAnsi="Times New Roman" w:cs="Times New Roman"/>
      <w:snapToGrid w:val="0"/>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75</COKL_x0020_Division>
    <COKL_x0020_Department xmlns="e63dacc3-515c-4cce-91e5-d3c507c5e648">10</COKL_x0020_Department>
    <Related_x0020_Policy xmlns="e63dacc3-515c-4cce-91e5-d3c507c5e648" xsi:nil="true"/>
    <Policy_x0020_Number xmlns="e63dacc3-515c-4cce-91e5-d3c507c5e648">CP2026-046</Policy_x0020_Number>
    <Policy_x0020_Name xmlns="e63dacc3-515c-4cce-91e5-d3c507c5e648">Roadway Classification System Policy</Policy_x0020_Name>
    <Policy_x0020_Category xmlns="e63dacc3-515c-4cce-91e5-d3c507c5e648">Section C - Transportation</Policy_x0020_Category>
    <Approval_x0020_Date xmlns="e63dacc3-515c-4cce-91e5-d3c507c5e648">2021-10-19T04:00:00+00:00</Approval_x0020_Date>
    <Related_x0020_Procedure xmlns="e63dacc3-515c-4cce-91e5-d3c507c5e648" xsi:nil="true"/>
    <Superseded_x0020_Date xmlns="b44db830-4673-485e-a6b6-759026e9ec8d" xsi:nil="true"/>
    <Effective_x0020_Date xmlns="e63dacc3-515c-4cce-91e5-d3c507c5e648">2021-10-19T04:00:00+00:00</Effective_x0020_Date>
  </documentManagement>
</p:properties>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07658-C38B-45DF-A3BA-41896BE8E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A386B-2E1F-41A5-A116-13C235F3FC54}">
  <ds:schemaRef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b44db830-4673-485e-a6b6-759026e9ec8d"/>
    <ds:schemaRef ds:uri="http://schemas.microsoft.com/office/infopath/2007/PartnerControls"/>
    <ds:schemaRef ds:uri="e63dacc3-515c-4cce-91e5-d3c507c5e648"/>
    <ds:schemaRef ds:uri="http://schemas.microsoft.com/office/2006/metadata/properties"/>
  </ds:schemaRefs>
</ds:datastoreItem>
</file>

<file path=customXml/itemProps3.xml><?xml version="1.0" encoding="utf-8"?>
<ds:datastoreItem xmlns:ds="http://schemas.openxmlformats.org/officeDocument/2006/customXml" ds:itemID="{DF1FB916-B6BE-4ED6-815A-1B0C5B40D96A}">
  <ds:schemaRefs>
    <ds:schemaRef ds:uri="Microsoft.SharePoint.Taxonomy.ContentTypeSync"/>
  </ds:schemaRefs>
</ds:datastoreItem>
</file>

<file path=customXml/itemProps4.xml><?xml version="1.0" encoding="utf-8"?>
<ds:datastoreItem xmlns:ds="http://schemas.openxmlformats.org/officeDocument/2006/customXml" ds:itemID="{C5A9FD8D-1EFF-43F9-A316-EA3405680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4</cp:revision>
  <cp:lastPrinted>2021-09-29T15:46:00Z</cp:lastPrinted>
  <dcterms:created xsi:type="dcterms:W3CDTF">2021-12-13T18:12:00Z</dcterms:created>
  <dcterms:modified xsi:type="dcterms:W3CDTF">2026-04-29T19:04:00Z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98fe1718-a598-49ac-81c0-f8a33c739cb5</vt:lpwstr>
  </property>
  <property fmtid="{D5CDD505-2E9C-101B-9397-08002B2CF9AE}" pid="4" name="Order">
    <vt:r8>6500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C.15 - Policies/Studies</vt:lpwstr>
  </property>
  <property fmtid="{D5CDD505-2E9C-101B-9397-08002B2CF9AE}" pid="8" name="Effective Date">
    <vt:filetime>2021-10-19T04:00:00Z</vt:filetime>
  </property>
</Properties>
</file>