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14:paraId="7A618CDE" w14:textId="77777777" w:rsidTr="00290866">
        <w:trPr>
          <w:trHeight w:val="521"/>
        </w:trPr>
        <w:tc>
          <w:tcPr>
            <w:tcW w:w="4675" w:type="dxa"/>
            <w:vAlign w:val="center"/>
          </w:tcPr>
          <w:p w14:paraId="2BFBF90E" w14:textId="77777777" w:rsidR="0090099E" w:rsidRDefault="0090099E" w:rsidP="00FE48B2">
            <w:pPr>
              <w:rPr>
                <w:rFonts w:cs="Arial"/>
              </w:rPr>
            </w:pPr>
            <w:r w:rsidRPr="00677D1E">
              <w:rPr>
                <w:rFonts w:cs="Arial"/>
              </w:rPr>
              <w:t>Council Policy No.:</w:t>
            </w:r>
          </w:p>
        </w:tc>
        <w:tc>
          <w:tcPr>
            <w:tcW w:w="4675" w:type="dxa"/>
            <w:vAlign w:val="center"/>
          </w:tcPr>
          <w:p w14:paraId="7C8E4E5F" w14:textId="2C3EF753" w:rsidR="0090099E" w:rsidRDefault="006275D5" w:rsidP="00014F37">
            <w:pPr>
              <w:rPr>
                <w:rFonts w:cs="Arial"/>
              </w:rPr>
            </w:pPr>
            <w:r>
              <w:rPr>
                <w:rFonts w:cs="Arial"/>
              </w:rPr>
              <w:t>CP202</w:t>
            </w:r>
            <w:r w:rsidR="00E96821">
              <w:rPr>
                <w:rFonts w:cs="Arial"/>
              </w:rPr>
              <w:t>4</w:t>
            </w:r>
            <w:r w:rsidR="00836E59">
              <w:rPr>
                <w:rFonts w:cs="Arial"/>
              </w:rPr>
              <w:t>-</w:t>
            </w:r>
            <w:r w:rsidR="00014F37">
              <w:rPr>
                <w:rFonts w:cs="Arial"/>
              </w:rPr>
              <w:t>008</w:t>
            </w:r>
          </w:p>
        </w:tc>
      </w:tr>
      <w:tr w:rsidR="0090099E" w14:paraId="6291EB1E" w14:textId="77777777" w:rsidTr="00290866">
        <w:trPr>
          <w:trHeight w:val="539"/>
        </w:trPr>
        <w:tc>
          <w:tcPr>
            <w:tcW w:w="4675" w:type="dxa"/>
            <w:vAlign w:val="center"/>
          </w:tcPr>
          <w:p w14:paraId="0B661251" w14:textId="77777777" w:rsidR="0090099E" w:rsidRDefault="0090099E" w:rsidP="00FE48B2">
            <w:pPr>
              <w:rPr>
                <w:rFonts w:cs="Arial"/>
              </w:rPr>
            </w:pPr>
            <w:r w:rsidRPr="00677D1E">
              <w:rPr>
                <w:rFonts w:cs="Arial"/>
              </w:rPr>
              <w:t>Council Policy Name:</w:t>
            </w:r>
          </w:p>
        </w:tc>
        <w:tc>
          <w:tcPr>
            <w:tcW w:w="4675" w:type="dxa"/>
            <w:vAlign w:val="center"/>
          </w:tcPr>
          <w:p w14:paraId="65D97608" w14:textId="4897C82B" w:rsidR="0090099E" w:rsidRDefault="006275D5" w:rsidP="00FE48B2">
            <w:pPr>
              <w:rPr>
                <w:rFonts w:cs="Arial"/>
              </w:rPr>
            </w:pPr>
            <w:r>
              <w:rPr>
                <w:rFonts w:cs="Arial"/>
              </w:rPr>
              <w:t>Extra Strength Surcharge Policy</w:t>
            </w:r>
          </w:p>
        </w:tc>
      </w:tr>
      <w:tr w:rsidR="0090099E" w14:paraId="42569A58" w14:textId="77777777" w:rsidTr="00290866">
        <w:trPr>
          <w:trHeight w:val="530"/>
        </w:trPr>
        <w:tc>
          <w:tcPr>
            <w:tcW w:w="4675" w:type="dxa"/>
            <w:vAlign w:val="center"/>
          </w:tcPr>
          <w:p w14:paraId="12F5D26A" w14:textId="77777777" w:rsidR="0090099E" w:rsidRDefault="0090099E" w:rsidP="00FE48B2">
            <w:pPr>
              <w:rPr>
                <w:rFonts w:cs="Arial"/>
              </w:rPr>
            </w:pPr>
            <w:r w:rsidRPr="00677D1E">
              <w:rPr>
                <w:rFonts w:cs="Arial"/>
              </w:rPr>
              <w:t>Date Approved by Council:</w:t>
            </w:r>
          </w:p>
        </w:tc>
        <w:tc>
          <w:tcPr>
            <w:tcW w:w="4675" w:type="dxa"/>
            <w:vAlign w:val="center"/>
          </w:tcPr>
          <w:p w14:paraId="7B95F14A" w14:textId="4CC9F7DF" w:rsidR="0090099E" w:rsidRDefault="00014F37" w:rsidP="00014F37">
            <w:pPr>
              <w:rPr>
                <w:rFonts w:cs="Arial"/>
              </w:rPr>
            </w:pPr>
            <w:r>
              <w:rPr>
                <w:rFonts w:cs="Arial"/>
              </w:rPr>
              <w:t>June 25, 2024</w:t>
            </w:r>
            <w:r>
              <w:rPr>
                <w:rFonts w:cs="Arial"/>
              </w:rPr>
              <w:br/>
              <w:t>CW2024-144/CR2024-321</w:t>
            </w:r>
          </w:p>
        </w:tc>
      </w:tr>
      <w:tr w:rsidR="0090099E" w14:paraId="59B74F8F" w14:textId="77777777" w:rsidTr="00290866">
        <w:trPr>
          <w:trHeight w:val="530"/>
        </w:trPr>
        <w:tc>
          <w:tcPr>
            <w:tcW w:w="4675" w:type="dxa"/>
            <w:vAlign w:val="center"/>
          </w:tcPr>
          <w:p w14:paraId="0F6C028E" w14:textId="77777777" w:rsidR="0090099E" w:rsidRDefault="0090099E" w:rsidP="00FE48B2">
            <w:pPr>
              <w:rPr>
                <w:rFonts w:cs="Arial"/>
              </w:rPr>
            </w:pPr>
            <w:r w:rsidRPr="00677D1E">
              <w:rPr>
                <w:rFonts w:cs="Arial"/>
              </w:rPr>
              <w:t>Date revision approved by Council:</w:t>
            </w:r>
          </w:p>
        </w:tc>
        <w:tc>
          <w:tcPr>
            <w:tcW w:w="4675" w:type="dxa"/>
            <w:vAlign w:val="center"/>
          </w:tcPr>
          <w:p w14:paraId="3DAABA3B" w14:textId="4718501D" w:rsidR="0090099E" w:rsidRDefault="0090099E" w:rsidP="00FE48B2">
            <w:pPr>
              <w:rPr>
                <w:rFonts w:cs="Arial"/>
              </w:rPr>
            </w:pPr>
          </w:p>
        </w:tc>
      </w:tr>
      <w:tr w:rsidR="0090099E" w14:paraId="1AE59D39" w14:textId="77777777" w:rsidTr="00290866">
        <w:tc>
          <w:tcPr>
            <w:tcW w:w="4675" w:type="dxa"/>
            <w:vAlign w:val="center"/>
          </w:tcPr>
          <w:p w14:paraId="687410E4" w14:textId="77777777" w:rsidR="0090099E" w:rsidRDefault="0090099E" w:rsidP="00FE48B2">
            <w:pPr>
              <w:rPr>
                <w:rFonts w:cs="Arial"/>
              </w:rPr>
            </w:pPr>
            <w:r w:rsidRPr="00677D1E">
              <w:rPr>
                <w:rFonts w:cs="Arial"/>
              </w:rPr>
              <w:t>Related SOP, Management Directive, Council Policy, Forms</w:t>
            </w:r>
          </w:p>
        </w:tc>
        <w:tc>
          <w:tcPr>
            <w:tcW w:w="4675" w:type="dxa"/>
            <w:vAlign w:val="center"/>
          </w:tcPr>
          <w:p w14:paraId="47B8E2E7" w14:textId="36DF899C" w:rsidR="0090099E" w:rsidRDefault="006275D5" w:rsidP="00014F37">
            <w:pPr>
              <w:rPr>
                <w:rFonts w:cs="Arial"/>
              </w:rPr>
            </w:pPr>
            <w:r>
              <w:rPr>
                <w:rFonts w:cs="Arial"/>
              </w:rPr>
              <w:t xml:space="preserve">Extra Strength Surcharge Management Directive </w:t>
            </w:r>
          </w:p>
        </w:tc>
      </w:tr>
    </w:tbl>
    <w:p w14:paraId="75CD5D5C" w14:textId="55673133"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72D749A4" w14:textId="10370ADC" w:rsidR="00610F81" w:rsidRPr="00610F81" w:rsidRDefault="00610F81" w:rsidP="007E150D">
      <w:pPr>
        <w:keepNext/>
        <w:keepLines/>
        <w:outlineLvl w:val="0"/>
        <w:rPr>
          <w:rFonts w:eastAsiaTheme="majorEastAsia" w:cstheme="majorBidi"/>
          <w:bCs/>
          <w:szCs w:val="28"/>
        </w:rPr>
      </w:pPr>
      <w:r>
        <w:rPr>
          <w:rFonts w:eastAsiaTheme="majorEastAsia" w:cstheme="majorBidi"/>
          <w:bCs/>
          <w:szCs w:val="28"/>
        </w:rPr>
        <w:t>The Corporation of the City of Kawartha Lakes has created an Extra Strength Surcharge Program for the pu</w:t>
      </w:r>
      <w:r w:rsidR="00B50ED1">
        <w:rPr>
          <w:rFonts w:eastAsiaTheme="majorEastAsia" w:cstheme="majorBidi"/>
          <w:bCs/>
          <w:szCs w:val="28"/>
        </w:rPr>
        <w:t xml:space="preserve">rposes of </w:t>
      </w:r>
      <w:r w:rsidR="00E96821">
        <w:rPr>
          <w:rFonts w:eastAsiaTheme="majorEastAsia" w:cstheme="majorBidi"/>
          <w:bCs/>
          <w:szCs w:val="28"/>
        </w:rPr>
        <w:t xml:space="preserve">offsetting increased </w:t>
      </w:r>
      <w:r w:rsidR="00B50ED1">
        <w:rPr>
          <w:rFonts w:eastAsiaTheme="majorEastAsia" w:cstheme="majorBidi"/>
          <w:bCs/>
          <w:szCs w:val="28"/>
        </w:rPr>
        <w:t>operation</w:t>
      </w:r>
      <w:r w:rsidR="00E96821">
        <w:rPr>
          <w:rFonts w:eastAsiaTheme="majorEastAsia" w:cstheme="majorBidi"/>
          <w:bCs/>
          <w:szCs w:val="28"/>
        </w:rPr>
        <w:t>al</w:t>
      </w:r>
      <w:r w:rsidR="00B50ED1">
        <w:rPr>
          <w:rFonts w:eastAsiaTheme="majorEastAsia" w:cstheme="majorBidi"/>
          <w:bCs/>
          <w:szCs w:val="28"/>
        </w:rPr>
        <w:t xml:space="preserve"> and</w:t>
      </w:r>
      <w:r>
        <w:rPr>
          <w:rFonts w:eastAsiaTheme="majorEastAsia" w:cstheme="majorBidi"/>
          <w:bCs/>
          <w:szCs w:val="28"/>
        </w:rPr>
        <w:t xml:space="preserve"> maintenance costs associated with discharge</w:t>
      </w:r>
      <w:r w:rsidR="00E96821">
        <w:rPr>
          <w:rFonts w:eastAsiaTheme="majorEastAsia" w:cstheme="majorBidi"/>
          <w:bCs/>
          <w:szCs w:val="28"/>
        </w:rPr>
        <w:t>s</w:t>
      </w:r>
      <w:r w:rsidR="002E4AF3">
        <w:rPr>
          <w:rFonts w:eastAsiaTheme="majorEastAsia" w:cstheme="majorBidi"/>
          <w:bCs/>
          <w:szCs w:val="28"/>
        </w:rPr>
        <w:t xml:space="preserve"> into the</w:t>
      </w:r>
      <w:r w:rsidR="00E96821">
        <w:rPr>
          <w:rFonts w:eastAsiaTheme="majorEastAsia" w:cstheme="majorBidi"/>
          <w:bCs/>
          <w:szCs w:val="28"/>
        </w:rPr>
        <w:t xml:space="preserve"> Municipal</w:t>
      </w:r>
      <w:r w:rsidR="002E4AF3">
        <w:rPr>
          <w:rFonts w:eastAsiaTheme="majorEastAsia" w:cstheme="majorBidi"/>
          <w:bCs/>
          <w:szCs w:val="28"/>
        </w:rPr>
        <w:t xml:space="preserve"> Sewer Works</w:t>
      </w:r>
      <w:r>
        <w:rPr>
          <w:rFonts w:eastAsiaTheme="majorEastAsia" w:cstheme="majorBidi"/>
          <w:bCs/>
          <w:szCs w:val="28"/>
        </w:rPr>
        <w:t xml:space="preserve"> containing certain substances which exceed limits set by By-law 2016-006</w:t>
      </w:r>
      <w:r w:rsidR="00E96821">
        <w:rPr>
          <w:rFonts w:eastAsiaTheme="majorEastAsia" w:cstheme="majorBidi"/>
          <w:bCs/>
          <w:szCs w:val="28"/>
        </w:rPr>
        <w:t xml:space="preserve"> </w:t>
      </w:r>
      <w:r w:rsidR="00E96821">
        <w:rPr>
          <w:rFonts w:eastAsiaTheme="majorEastAsia" w:cstheme="majorBidi"/>
          <w:bCs/>
          <w:i/>
          <w:szCs w:val="28"/>
        </w:rPr>
        <w:t>“</w:t>
      </w:r>
      <w:r w:rsidR="00E96821" w:rsidRPr="00014F37">
        <w:rPr>
          <w:rFonts w:eastAsiaTheme="majorEastAsia" w:cstheme="majorBidi"/>
          <w:bCs/>
          <w:szCs w:val="28"/>
        </w:rPr>
        <w:t>A By-Law to Establish The Management and Use of the Sewer Works in The City of Kawartha Lakes” (herein, “the By-law”)</w:t>
      </w:r>
      <w:r w:rsidRPr="00014F37">
        <w:rPr>
          <w:rFonts w:eastAsiaTheme="majorEastAsia" w:cstheme="majorBidi"/>
          <w:bCs/>
          <w:szCs w:val="28"/>
        </w:rPr>
        <w:t>.</w:t>
      </w:r>
      <w:r>
        <w:rPr>
          <w:rFonts w:eastAsiaTheme="majorEastAsia" w:cstheme="majorBidi"/>
          <w:bCs/>
          <w:szCs w:val="28"/>
        </w:rPr>
        <w:t xml:space="preserve"> </w:t>
      </w:r>
      <w:r w:rsidR="002E4AF3">
        <w:rPr>
          <w:rFonts w:eastAsiaTheme="majorEastAsia" w:cstheme="majorBidi"/>
          <w:bCs/>
          <w:szCs w:val="28"/>
        </w:rPr>
        <w:t xml:space="preserve">The overarching goal emphasizes the </w:t>
      </w:r>
      <w:r w:rsidR="00B467E6">
        <w:rPr>
          <w:rFonts w:eastAsiaTheme="majorEastAsia" w:cstheme="majorBidi"/>
          <w:bCs/>
          <w:szCs w:val="28"/>
        </w:rPr>
        <w:t xml:space="preserve">accountability of particular Dischargers to </w:t>
      </w:r>
      <w:r w:rsidR="00E54C64">
        <w:rPr>
          <w:rFonts w:eastAsiaTheme="majorEastAsia" w:cstheme="majorBidi"/>
          <w:bCs/>
          <w:szCs w:val="28"/>
        </w:rPr>
        <w:t>aid in mitigating</w:t>
      </w:r>
      <w:r w:rsidR="00B467E6">
        <w:rPr>
          <w:rFonts w:eastAsiaTheme="majorEastAsia" w:cstheme="majorBidi"/>
          <w:bCs/>
          <w:szCs w:val="28"/>
        </w:rPr>
        <w:t xml:space="preserve"> additional costs of treatment</w:t>
      </w:r>
      <w:r w:rsidR="00E54C64">
        <w:rPr>
          <w:rFonts w:eastAsiaTheme="majorEastAsia" w:cstheme="majorBidi"/>
          <w:bCs/>
          <w:szCs w:val="28"/>
        </w:rPr>
        <w:t xml:space="preserve"> to the City,</w:t>
      </w:r>
      <w:r w:rsidR="00B467E6">
        <w:rPr>
          <w:rFonts w:eastAsiaTheme="majorEastAsia" w:cstheme="majorBidi"/>
          <w:bCs/>
          <w:szCs w:val="28"/>
        </w:rPr>
        <w:t xml:space="preserve"> as well as the continued objective of efficient and effective treatment before discharge into a watershed, fostering ecological integrity.</w:t>
      </w:r>
    </w:p>
    <w:p w14:paraId="79FC49E1" w14:textId="77777777" w:rsidR="001455CC" w:rsidRDefault="0090099E" w:rsidP="001455CC">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Scope:</w:t>
      </w:r>
    </w:p>
    <w:p w14:paraId="2A804685" w14:textId="77370FFA" w:rsidR="00AD786E" w:rsidRDefault="00AD786E" w:rsidP="00014F37">
      <w:r>
        <w:rPr>
          <w:rFonts w:eastAsiaTheme="majorEastAsia"/>
        </w:rPr>
        <w:t xml:space="preserve">This Policy encapsulates any and all properties which </w:t>
      </w:r>
      <w:r>
        <w:t>have been predetermined to have the potential to</w:t>
      </w:r>
      <w:r w:rsidRPr="00544F03">
        <w:t xml:space="preserve"> discharge waste into the </w:t>
      </w:r>
      <w:r w:rsidR="00ED31D8">
        <w:t>M</w:t>
      </w:r>
      <w:r>
        <w:t>unicipal</w:t>
      </w:r>
      <w:r w:rsidRPr="00544F03">
        <w:t xml:space="preserve"> </w:t>
      </w:r>
      <w:r w:rsidR="00E96821">
        <w:t>S</w:t>
      </w:r>
      <w:r w:rsidRPr="00544F03">
        <w:t xml:space="preserve">ewage </w:t>
      </w:r>
      <w:r w:rsidR="00E96821">
        <w:t>W</w:t>
      </w:r>
      <w:r>
        <w:t>orks</w:t>
      </w:r>
      <w:r w:rsidRPr="00544F03">
        <w:t xml:space="preserve"> that exceed the limits set by the By-law.</w:t>
      </w:r>
    </w:p>
    <w:p w14:paraId="6A0A938F" w14:textId="57AEFBC2" w:rsidR="0090099E" w:rsidRDefault="0090099E" w:rsidP="0090099E">
      <w:pPr>
        <w:rPr>
          <w:rFonts w:cs="Arial"/>
          <w:b/>
          <w:color w:val="2C3D7A"/>
        </w:rPr>
      </w:pPr>
      <w:r w:rsidRPr="0090099E">
        <w:rPr>
          <w:rFonts w:cs="Arial"/>
          <w:b/>
          <w:color w:val="2C3D7A"/>
        </w:rPr>
        <w:t>Definitions:</w:t>
      </w:r>
    </w:p>
    <w:p w14:paraId="7682A2ED" w14:textId="624F6743" w:rsidR="00185857" w:rsidRPr="00544F03" w:rsidRDefault="00185857" w:rsidP="00277043">
      <w:pPr>
        <w:ind w:left="720"/>
        <w:rPr>
          <w:rFonts w:cs="Arial"/>
        </w:rPr>
      </w:pPr>
      <w:r w:rsidRPr="00544F03">
        <w:rPr>
          <w:rFonts w:cs="Arial"/>
          <w:b/>
        </w:rPr>
        <w:t>“City”</w:t>
      </w:r>
      <w:r>
        <w:rPr>
          <w:rFonts w:cs="Arial"/>
          <w:b/>
        </w:rPr>
        <w:t>, “City of Kawartha Lakes” or “Kawartha Lakes”</w:t>
      </w:r>
      <w:r w:rsidRPr="00544F03">
        <w:rPr>
          <w:rFonts w:cs="Arial"/>
          <w:b/>
        </w:rPr>
        <w:t xml:space="preserve"> </w:t>
      </w:r>
      <w:r w:rsidRPr="00544F03">
        <w:rPr>
          <w:rFonts w:cs="Arial"/>
        </w:rPr>
        <w:t>means The Corporation of the City of Kawartha Lakes, including its entire geographic area, and includes its Officers, Directors, employees and agents;</w:t>
      </w:r>
    </w:p>
    <w:p w14:paraId="0CB15FCD" w14:textId="77777777" w:rsidR="00185857" w:rsidRPr="009C37E8" w:rsidRDefault="00185857" w:rsidP="00277043">
      <w:pPr>
        <w:ind w:left="720"/>
        <w:rPr>
          <w:rFonts w:cs="Arial"/>
        </w:rPr>
      </w:pPr>
      <w:r w:rsidRPr="00544F03">
        <w:rPr>
          <w:rFonts w:cs="Arial"/>
          <w:b/>
        </w:rPr>
        <w:t xml:space="preserve">“Company” </w:t>
      </w:r>
      <w:r>
        <w:rPr>
          <w:rFonts w:cs="Arial"/>
        </w:rPr>
        <w:t xml:space="preserve">means the legal entity who carries on an activity at a premise(s) that produces a sewage discharge in which the quantity of one or more parameter exceeds the limits set out in the By-Law; </w:t>
      </w:r>
    </w:p>
    <w:p w14:paraId="0A106A26" w14:textId="47FDFAEB" w:rsidR="00185857" w:rsidRPr="00142AAA" w:rsidRDefault="00185857" w:rsidP="00277043">
      <w:pPr>
        <w:ind w:left="720"/>
        <w:rPr>
          <w:rFonts w:cs="Arial"/>
        </w:rPr>
      </w:pPr>
      <w:r>
        <w:rPr>
          <w:rFonts w:cs="Arial"/>
          <w:b/>
        </w:rPr>
        <w:lastRenderedPageBreak/>
        <w:t>“Discharger”</w:t>
      </w:r>
      <w:r>
        <w:rPr>
          <w:rFonts w:cs="Arial"/>
        </w:rPr>
        <w:t xml:space="preserve"> means an individual, association, partnership, corporation, municipality, or an agent or employee thereof, who is depositing sewage into the Sewer Works System;</w:t>
      </w:r>
    </w:p>
    <w:p w14:paraId="32C4DFCA" w14:textId="77777777" w:rsidR="00185857" w:rsidRPr="00544F03" w:rsidRDefault="00185857" w:rsidP="00277043">
      <w:pPr>
        <w:ind w:left="720"/>
        <w:rPr>
          <w:rFonts w:cs="Arial"/>
        </w:rPr>
      </w:pPr>
      <w:r w:rsidRPr="00544F03">
        <w:rPr>
          <w:rFonts w:cs="Arial"/>
          <w:b/>
        </w:rPr>
        <w:t xml:space="preserve">“Extra Strength Surcharge Program” or “ESS Program” </w:t>
      </w:r>
      <w:r w:rsidRPr="00544F03">
        <w:rPr>
          <w:rFonts w:cs="Arial"/>
        </w:rPr>
        <w:t xml:space="preserve">means the program the City has </w:t>
      </w:r>
      <w:r>
        <w:rPr>
          <w:rFonts w:cs="Arial"/>
        </w:rPr>
        <w:t xml:space="preserve">established </w:t>
      </w:r>
      <w:r w:rsidRPr="00544F03">
        <w:rPr>
          <w:rFonts w:cs="Arial"/>
        </w:rPr>
        <w:t xml:space="preserve">to identify and analyze the </w:t>
      </w:r>
      <w:r>
        <w:rPr>
          <w:rFonts w:cs="Arial"/>
        </w:rPr>
        <w:t>sewage</w:t>
      </w:r>
      <w:r w:rsidRPr="00544F03">
        <w:rPr>
          <w:rFonts w:cs="Arial"/>
        </w:rPr>
        <w:t xml:space="preserve"> streams in question and calculate the applicable surcharges;</w:t>
      </w:r>
    </w:p>
    <w:p w14:paraId="7464EF56" w14:textId="530E183A" w:rsidR="00185857" w:rsidRPr="00D03A55" w:rsidRDefault="00185857" w:rsidP="00277043">
      <w:pPr>
        <w:ind w:left="720"/>
        <w:rPr>
          <w:rFonts w:cs="Arial"/>
        </w:rPr>
      </w:pPr>
      <w:r>
        <w:rPr>
          <w:rFonts w:cs="Arial"/>
          <w:b/>
        </w:rPr>
        <w:t xml:space="preserve">“Non-compliant” </w:t>
      </w:r>
      <w:r>
        <w:rPr>
          <w:rFonts w:cs="Arial"/>
        </w:rPr>
        <w:t>includes sewage discharge which contains substances that exceed the parameter limits set out by By-law 2016-006.</w:t>
      </w:r>
    </w:p>
    <w:p w14:paraId="5F3EABBA" w14:textId="0A101E7B" w:rsidR="00185857" w:rsidRDefault="00185857" w:rsidP="00277043">
      <w:pPr>
        <w:ind w:left="720"/>
        <w:rPr>
          <w:rFonts w:cs="Arial"/>
        </w:rPr>
      </w:pPr>
      <w:r w:rsidRPr="00544F03">
        <w:rPr>
          <w:rFonts w:cs="Arial"/>
          <w:b/>
        </w:rPr>
        <w:t>“Property”</w:t>
      </w:r>
      <w:r w:rsidRPr="00544F03">
        <w:rPr>
          <w:rFonts w:cs="Arial"/>
        </w:rPr>
        <w:t xml:space="preserve"> includes but is not limited to both public and private lands, a house, building, structure, lot or any part of a house, building, structure or lot within the City, and is adjacent to water and/or sewage works and may be entitled to a service connection;</w:t>
      </w:r>
    </w:p>
    <w:p w14:paraId="024EF795" w14:textId="77777777" w:rsidR="00185857" w:rsidRPr="00F52199" w:rsidRDefault="00185857" w:rsidP="00277043">
      <w:pPr>
        <w:ind w:left="720"/>
        <w:rPr>
          <w:rFonts w:cs="Arial"/>
        </w:rPr>
      </w:pPr>
      <w:r>
        <w:rPr>
          <w:rFonts w:cs="Arial"/>
          <w:b/>
        </w:rPr>
        <w:t xml:space="preserve">“Sewage” (or “wastewater”) </w:t>
      </w:r>
      <w:r>
        <w:rPr>
          <w:rFonts w:cs="Arial"/>
        </w:rPr>
        <w:t>means any one of or a combination of domestic sanitary sewage and/or water borne waste, and/or non-domestic sanitary sewage and/or water borne waste, discharged from residences, businesses, recreational facilities, institutions or industry including the unintentional and/or unauthorized inflow or infiltration of storm water or drainage water;</w:t>
      </w:r>
    </w:p>
    <w:p w14:paraId="6EFD17DE" w14:textId="728EB135" w:rsidR="00185857" w:rsidRPr="00EF1D53" w:rsidRDefault="00185857" w:rsidP="00277043">
      <w:pPr>
        <w:ind w:left="720"/>
        <w:rPr>
          <w:rFonts w:cs="Arial"/>
        </w:rPr>
      </w:pPr>
      <w:r>
        <w:rPr>
          <w:rFonts w:cs="Arial"/>
          <w:b/>
        </w:rPr>
        <w:t xml:space="preserve">“Sewer Works” </w:t>
      </w:r>
      <w:r>
        <w:rPr>
          <w:rFonts w:cs="Arial"/>
        </w:rPr>
        <w:t>means any works from buildings, structures, equipment, appurtenances, devices, conduits, underground pipelines, municipal sewer laterals, outlets, and related installations and other works of the City, designed for the collection and transmission of sewage, and includes lands over which an easement or consent has been granted or lands appropriated for such purposes and use. Includes both sanitary sewers and drainage works (storm sewers);</w:t>
      </w:r>
    </w:p>
    <w:p w14:paraId="6F77A378" w14:textId="07AF9AC6" w:rsidR="00365D81" w:rsidRDefault="0090099E" w:rsidP="00567A83">
      <w:pPr>
        <w:keepNext/>
        <w:keepLines/>
        <w:tabs>
          <w:tab w:val="left" w:pos="1710"/>
        </w:tab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32CBD348" w14:textId="0B0C4284" w:rsidR="0090099E" w:rsidRDefault="00014F37" w:rsidP="00014F37">
      <w:pPr>
        <w:pStyle w:val="Heading2"/>
      </w:pPr>
      <w:r>
        <w:t>1.</w:t>
      </w:r>
      <w:r>
        <w:tab/>
      </w:r>
      <w:r w:rsidR="00567A83">
        <w:t>General Principles</w:t>
      </w:r>
    </w:p>
    <w:p w14:paraId="219872EC" w14:textId="46DB67E5" w:rsidR="00011557" w:rsidRPr="0089483B" w:rsidRDefault="00567A83" w:rsidP="00014F37">
      <w:pPr>
        <w:pStyle w:val="ListParagraph"/>
        <w:numPr>
          <w:ilvl w:val="1"/>
          <w:numId w:val="2"/>
        </w:numPr>
        <w:contextualSpacing w:val="0"/>
        <w:rPr>
          <w:rFonts w:eastAsiaTheme="majorEastAsia"/>
        </w:rPr>
      </w:pPr>
      <w:r w:rsidRPr="00290866">
        <w:rPr>
          <w:rFonts w:eastAsiaTheme="majorEastAsia"/>
        </w:rPr>
        <w:t>Properties will be assessed and have their Sewage analyzed to determine non-compliance. The assessment will revolve around background inf</w:t>
      </w:r>
      <w:r w:rsidR="0071150B">
        <w:rPr>
          <w:rFonts w:eastAsiaTheme="majorEastAsia"/>
        </w:rPr>
        <w:t>ormation of</w:t>
      </w:r>
      <w:r w:rsidRPr="00290866">
        <w:rPr>
          <w:rFonts w:eastAsiaTheme="majorEastAsia"/>
        </w:rPr>
        <w:t xml:space="preserve"> the uses at the property in question and how it may hold the potential to produce exceedances in their Sewage effluent</w:t>
      </w:r>
      <w:r w:rsidR="007927AF" w:rsidRPr="00290866">
        <w:rPr>
          <w:rFonts w:eastAsiaTheme="majorEastAsia"/>
        </w:rPr>
        <w:t xml:space="preserve">. </w:t>
      </w:r>
      <w:r w:rsidRPr="00290866">
        <w:rPr>
          <w:rFonts w:eastAsiaTheme="majorEastAsia"/>
        </w:rPr>
        <w:t>Companies and/or Dischargers who enter into an</w:t>
      </w:r>
      <w:r w:rsidR="00CE3264">
        <w:rPr>
          <w:rFonts w:eastAsiaTheme="majorEastAsia"/>
        </w:rPr>
        <w:t xml:space="preserve"> Extra Strength Surcharge</w:t>
      </w:r>
      <w:r w:rsidRPr="00290866">
        <w:rPr>
          <w:rFonts w:eastAsiaTheme="majorEastAsia"/>
        </w:rPr>
        <w:t xml:space="preserve"> agreement are provided authorization to exceed the established limits as detailed within the By-law</w:t>
      </w:r>
      <w:r w:rsidR="00290866" w:rsidRPr="00290866">
        <w:rPr>
          <w:rFonts w:eastAsiaTheme="majorEastAsia"/>
        </w:rPr>
        <w:t>.</w:t>
      </w:r>
    </w:p>
    <w:p w14:paraId="128566FB" w14:textId="0FAA2563" w:rsidR="00CC4504" w:rsidRDefault="00CC4504" w:rsidP="00014F37">
      <w:pPr>
        <w:pStyle w:val="ListParagraph"/>
        <w:numPr>
          <w:ilvl w:val="1"/>
          <w:numId w:val="2"/>
        </w:numPr>
        <w:contextualSpacing w:val="0"/>
        <w:rPr>
          <w:rFonts w:eastAsiaTheme="majorEastAsia"/>
        </w:rPr>
      </w:pPr>
      <w:r w:rsidRPr="00567A83">
        <w:rPr>
          <w:rFonts w:eastAsiaTheme="majorEastAsia"/>
        </w:rPr>
        <w:t xml:space="preserve">The City shall be entitled to conduct sampling as it sees fit for the purposes of the ESS Program </w:t>
      </w:r>
      <w:r w:rsidR="00D10DFA">
        <w:rPr>
          <w:rFonts w:eastAsiaTheme="majorEastAsia"/>
        </w:rPr>
        <w:t xml:space="preserve">and </w:t>
      </w:r>
      <w:r w:rsidRPr="00567A83">
        <w:rPr>
          <w:rFonts w:eastAsiaTheme="majorEastAsia"/>
        </w:rPr>
        <w:t>compliance with the By-law.</w:t>
      </w:r>
      <w:r w:rsidR="00D10DFA">
        <w:rPr>
          <w:rFonts w:eastAsiaTheme="majorEastAsia"/>
        </w:rPr>
        <w:t xml:space="preserve"> This includes</w:t>
      </w:r>
      <w:r w:rsidRPr="00567A83">
        <w:rPr>
          <w:rFonts w:eastAsiaTheme="majorEastAsia"/>
        </w:rPr>
        <w:t xml:space="preserve"> the right to take samples, inspect equipment and carry on any other investigations that the City </w:t>
      </w:r>
      <w:r w:rsidRPr="00567A83">
        <w:rPr>
          <w:rFonts w:eastAsiaTheme="majorEastAsia"/>
        </w:rPr>
        <w:lastRenderedPageBreak/>
        <w:t>may deem necessary. A minimum of four (4) samples of the Sewage will be taken with timing determined by the City.</w:t>
      </w:r>
    </w:p>
    <w:p w14:paraId="395D71C9" w14:textId="5BD83BA9" w:rsidR="00910C7F" w:rsidRDefault="00CC4504" w:rsidP="00014F37">
      <w:pPr>
        <w:pStyle w:val="ListParagraph"/>
        <w:numPr>
          <w:ilvl w:val="1"/>
          <w:numId w:val="2"/>
        </w:numPr>
        <w:contextualSpacing w:val="0"/>
        <w:rPr>
          <w:rFonts w:eastAsiaTheme="majorEastAsia"/>
        </w:rPr>
      </w:pPr>
      <w:r w:rsidRPr="00CC4504">
        <w:rPr>
          <w:rFonts w:eastAsiaTheme="majorEastAsia"/>
        </w:rPr>
        <w:t>T</w:t>
      </w:r>
      <w:r w:rsidR="00910C7F">
        <w:rPr>
          <w:rFonts w:eastAsiaTheme="majorEastAsia"/>
        </w:rPr>
        <w:t xml:space="preserve">he City will </w:t>
      </w:r>
      <w:r w:rsidRPr="00CC4504">
        <w:rPr>
          <w:rFonts w:eastAsiaTheme="majorEastAsia"/>
        </w:rPr>
        <w:t xml:space="preserve">calculate </w:t>
      </w:r>
      <w:r w:rsidR="00910C7F">
        <w:rPr>
          <w:rFonts w:eastAsiaTheme="majorEastAsia"/>
        </w:rPr>
        <w:t>a</w:t>
      </w:r>
      <w:r w:rsidRPr="00CC4504">
        <w:rPr>
          <w:rFonts w:eastAsiaTheme="majorEastAsia"/>
        </w:rPr>
        <w:t xml:space="preserve"> surcharge fee payable by the Company and/or Discharger,</w:t>
      </w:r>
      <w:r w:rsidR="00910C7F">
        <w:rPr>
          <w:rFonts w:eastAsiaTheme="majorEastAsia"/>
        </w:rPr>
        <w:t xml:space="preserve"> based on</w:t>
      </w:r>
      <w:r w:rsidRPr="00CC4504">
        <w:rPr>
          <w:rFonts w:eastAsiaTheme="majorEastAsia"/>
        </w:rPr>
        <w:t xml:space="preserve"> the parameter with the highest exceedance compared to the By-law discharge limits</w:t>
      </w:r>
      <w:r w:rsidR="00910C7F">
        <w:rPr>
          <w:rFonts w:eastAsiaTheme="majorEastAsia"/>
        </w:rPr>
        <w:t>, the</w:t>
      </w:r>
      <w:r w:rsidRPr="00CC4504">
        <w:rPr>
          <w:rFonts w:eastAsiaTheme="majorEastAsia"/>
        </w:rPr>
        <w:t xml:space="preserve"> volume of Sewage entering the Sewer Works (</w:t>
      </w:r>
      <w:r w:rsidR="00910C7F">
        <w:rPr>
          <w:rFonts w:eastAsiaTheme="majorEastAsia"/>
        </w:rPr>
        <w:t>using</w:t>
      </w:r>
      <w:r w:rsidRPr="00CC4504">
        <w:rPr>
          <w:rFonts w:eastAsiaTheme="majorEastAsia"/>
        </w:rPr>
        <w:t xml:space="preserve"> meter</w:t>
      </w:r>
      <w:r w:rsidR="00910C7F">
        <w:rPr>
          <w:rFonts w:eastAsiaTheme="majorEastAsia"/>
        </w:rPr>
        <w:t>ed</w:t>
      </w:r>
      <w:r w:rsidRPr="00CC4504">
        <w:rPr>
          <w:rFonts w:eastAsiaTheme="majorEastAsia"/>
        </w:rPr>
        <w:t xml:space="preserve"> </w:t>
      </w:r>
      <w:r w:rsidR="00910C7F">
        <w:rPr>
          <w:rFonts w:eastAsiaTheme="majorEastAsia"/>
        </w:rPr>
        <w:t>water data)</w:t>
      </w:r>
      <w:r w:rsidR="00910C7F" w:rsidRPr="00CC4504">
        <w:rPr>
          <w:rFonts w:eastAsiaTheme="majorEastAsia"/>
        </w:rPr>
        <w:t xml:space="preserve"> </w:t>
      </w:r>
      <w:r w:rsidRPr="00CC4504">
        <w:rPr>
          <w:rFonts w:eastAsiaTheme="majorEastAsia"/>
        </w:rPr>
        <w:t xml:space="preserve">and the current rate for sewage treatment. The sewage treatment rate </w:t>
      </w:r>
      <w:r w:rsidR="00910C7F">
        <w:rPr>
          <w:rFonts w:eastAsiaTheme="majorEastAsia"/>
        </w:rPr>
        <w:t xml:space="preserve">is calculated based on </w:t>
      </w:r>
      <w:r w:rsidRPr="00CC4504">
        <w:rPr>
          <w:rFonts w:eastAsiaTheme="majorEastAsia"/>
        </w:rPr>
        <w:t>previous year’s actual annual operating and maintenance costs for the respective City wastewater treatment facility for which the property is connected to and will be calculated and adjusted in April of each calendar year.</w:t>
      </w:r>
    </w:p>
    <w:p w14:paraId="629A8BA3" w14:textId="32D6201F" w:rsidR="00C54138" w:rsidRPr="00705A32" w:rsidRDefault="00EF1D53" w:rsidP="00014F37">
      <w:pPr>
        <w:pStyle w:val="ListParagraph"/>
        <w:numPr>
          <w:ilvl w:val="1"/>
          <w:numId w:val="2"/>
        </w:numPr>
        <w:contextualSpacing w:val="0"/>
        <w:rPr>
          <w:rFonts w:eastAsiaTheme="majorEastAsia"/>
        </w:rPr>
      </w:pPr>
      <w:r w:rsidRPr="00734C59">
        <w:rPr>
          <w:rFonts w:eastAsiaTheme="majorEastAsia"/>
        </w:rPr>
        <w:t xml:space="preserve">The City reserves the right to enforce applicable surcharges and rate adjustments at its sole and absolute discretion, per </w:t>
      </w:r>
      <w:r w:rsidRPr="00734C59">
        <w:rPr>
          <w:rFonts w:cs="Arial"/>
        </w:rPr>
        <w:t>By-Law 2016-006</w:t>
      </w:r>
      <w:r w:rsidRPr="00734C59">
        <w:rPr>
          <w:rFonts w:cs="Arial"/>
          <w:i/>
        </w:rPr>
        <w:t xml:space="preserve"> “</w:t>
      </w:r>
      <w:r w:rsidR="001455CC" w:rsidRPr="00014F37">
        <w:rPr>
          <w:rFonts w:cs="Arial"/>
        </w:rPr>
        <w:t xml:space="preserve">A By-Law to Establish </w:t>
      </w:r>
      <w:proofErr w:type="gramStart"/>
      <w:r w:rsidR="00014F37">
        <w:rPr>
          <w:rFonts w:cs="Arial"/>
        </w:rPr>
        <w:t>The</w:t>
      </w:r>
      <w:proofErr w:type="gramEnd"/>
      <w:r w:rsidR="00014F37">
        <w:rPr>
          <w:rFonts w:cs="Arial"/>
        </w:rPr>
        <w:t xml:space="preserve"> Management and Use of the Sewer Works i</w:t>
      </w:r>
      <w:r w:rsidRPr="00014F37">
        <w:rPr>
          <w:rFonts w:cs="Arial"/>
        </w:rPr>
        <w:t xml:space="preserve">n The City </w:t>
      </w:r>
      <w:r w:rsidR="00014F37">
        <w:rPr>
          <w:rFonts w:cs="Arial"/>
        </w:rPr>
        <w:t>o</w:t>
      </w:r>
      <w:bookmarkStart w:id="0" w:name="_GoBack"/>
      <w:bookmarkEnd w:id="0"/>
      <w:r w:rsidRPr="00014F37">
        <w:rPr>
          <w:rFonts w:cs="Arial"/>
        </w:rPr>
        <w:t>f Kawartha Lakes</w:t>
      </w:r>
      <w:r w:rsidRPr="00734C59">
        <w:rPr>
          <w:rFonts w:cs="Arial"/>
          <w:i/>
        </w:rPr>
        <w:t>.”</w:t>
      </w:r>
      <w:r w:rsidR="0077015C" w:rsidRPr="00734C59">
        <w:rPr>
          <w:rFonts w:cs="Arial"/>
          <w:i/>
        </w:rPr>
        <w:t xml:space="preserve"> </w:t>
      </w:r>
    </w:p>
    <w:p w14:paraId="0D4A1460" w14:textId="4C239011" w:rsidR="001242FC" w:rsidRDefault="00014F37" w:rsidP="00014F37">
      <w:pPr>
        <w:pStyle w:val="Heading2"/>
      </w:pPr>
      <w:r>
        <w:t>2.</w:t>
      </w:r>
      <w:r>
        <w:tab/>
      </w:r>
      <w:r w:rsidR="001242FC" w:rsidRPr="001242FC">
        <w:t>The Water and Wastewater Division’s Responsibilities</w:t>
      </w:r>
    </w:p>
    <w:p w14:paraId="075082B6" w14:textId="220A1771" w:rsidR="001242FC" w:rsidRPr="00014F37" w:rsidRDefault="00014F37" w:rsidP="00014F37">
      <w:pPr>
        <w:pStyle w:val="ListParagraph"/>
        <w:spacing w:line="276" w:lineRule="auto"/>
        <w:ind w:hanging="720"/>
        <w:rPr>
          <w:rFonts w:cs="Arial"/>
        </w:rPr>
      </w:pPr>
      <w:r>
        <w:rPr>
          <w:rFonts w:cs="Arial"/>
        </w:rPr>
        <w:t>2.1</w:t>
      </w:r>
      <w:r>
        <w:rPr>
          <w:rFonts w:cs="Arial"/>
        </w:rPr>
        <w:tab/>
      </w:r>
      <w:r w:rsidR="0058636F" w:rsidRPr="00014F37">
        <w:rPr>
          <w:rFonts w:cs="Arial"/>
        </w:rPr>
        <w:t>Administration</w:t>
      </w:r>
      <w:r w:rsidR="001242FC" w:rsidRPr="00014F37">
        <w:rPr>
          <w:rFonts w:cs="Arial"/>
        </w:rPr>
        <w:t xml:space="preserve"> and enforcement of the City’s Extra Strength Surcharge </w:t>
      </w:r>
      <w:r w:rsidR="00267A2E" w:rsidRPr="00014F37">
        <w:rPr>
          <w:rFonts w:cs="Arial"/>
        </w:rPr>
        <w:t>Program as per this policy</w:t>
      </w:r>
      <w:r w:rsidR="001242FC" w:rsidRPr="00014F37">
        <w:rPr>
          <w:rFonts w:cs="Arial"/>
        </w:rPr>
        <w:t xml:space="preserve"> and affiliated documents such as By-law 2016-006 and the associated Extra Strength Surcharge </w:t>
      </w:r>
      <w:r w:rsidR="00654DD5" w:rsidRPr="00014F37">
        <w:rPr>
          <w:rFonts w:cs="Arial"/>
        </w:rPr>
        <w:t>Management Directive</w:t>
      </w:r>
      <w:r w:rsidR="001455CC" w:rsidRPr="00014F37">
        <w:rPr>
          <w:rFonts w:cs="Arial"/>
        </w:rPr>
        <w:t>.</w:t>
      </w:r>
    </w:p>
    <w:p w14:paraId="1599B838" w14:textId="451C8149" w:rsidR="00267A2E" w:rsidRPr="00014F37" w:rsidRDefault="00014F37" w:rsidP="00014F37">
      <w:pPr>
        <w:pStyle w:val="ListParagraph"/>
        <w:spacing w:line="276" w:lineRule="auto"/>
        <w:ind w:hanging="720"/>
        <w:rPr>
          <w:rFonts w:cs="Arial"/>
        </w:rPr>
      </w:pPr>
      <w:r>
        <w:rPr>
          <w:rFonts w:cs="Arial"/>
        </w:rPr>
        <w:t>2.2</w:t>
      </w:r>
      <w:r>
        <w:rPr>
          <w:rFonts w:cs="Arial"/>
        </w:rPr>
        <w:tab/>
      </w:r>
      <w:r w:rsidR="00267A2E" w:rsidRPr="00014F37">
        <w:rPr>
          <w:rFonts w:cs="Arial"/>
        </w:rPr>
        <w:t>Reviewing/Investigating</w:t>
      </w:r>
      <w:r w:rsidR="001242FC" w:rsidRPr="00014F37">
        <w:rPr>
          <w:rFonts w:cs="Arial"/>
        </w:rPr>
        <w:t xml:space="preserve"> properties that </w:t>
      </w:r>
      <w:r w:rsidR="00267A2E" w:rsidRPr="00014F37">
        <w:rPr>
          <w:rFonts w:cs="Arial"/>
        </w:rPr>
        <w:t>are</w:t>
      </w:r>
      <w:r w:rsidR="001242FC" w:rsidRPr="00014F37">
        <w:rPr>
          <w:rFonts w:cs="Arial"/>
        </w:rPr>
        <w:t xml:space="preserve"> suspected to </w:t>
      </w:r>
      <w:r w:rsidR="00267A2E" w:rsidRPr="00014F37">
        <w:rPr>
          <w:rFonts w:cs="Arial"/>
        </w:rPr>
        <w:t xml:space="preserve">discharge </w:t>
      </w:r>
      <w:r w:rsidR="001242FC" w:rsidRPr="00014F37">
        <w:rPr>
          <w:rFonts w:cs="Arial"/>
        </w:rPr>
        <w:t xml:space="preserve">non-complaint effluent, </w:t>
      </w:r>
      <w:r w:rsidR="00267A2E" w:rsidRPr="00014F37">
        <w:rPr>
          <w:rFonts w:cs="Arial"/>
        </w:rPr>
        <w:t xml:space="preserve">and maintaining records of review/investigation. </w:t>
      </w:r>
    </w:p>
    <w:p w14:paraId="6E144C1C" w14:textId="3778C1DA" w:rsidR="001242FC" w:rsidRPr="00014F37" w:rsidRDefault="00014F37" w:rsidP="00014F37">
      <w:pPr>
        <w:pStyle w:val="ListParagraph"/>
        <w:spacing w:line="276" w:lineRule="auto"/>
        <w:ind w:hanging="720"/>
        <w:rPr>
          <w:rFonts w:cs="Arial"/>
        </w:rPr>
      </w:pPr>
      <w:r>
        <w:rPr>
          <w:rFonts w:cs="Arial"/>
        </w:rPr>
        <w:t>2.3</w:t>
      </w:r>
      <w:r>
        <w:rPr>
          <w:rFonts w:cs="Arial"/>
        </w:rPr>
        <w:tab/>
      </w:r>
      <w:r w:rsidR="00267A2E" w:rsidRPr="00014F37">
        <w:rPr>
          <w:rFonts w:cs="Arial"/>
        </w:rPr>
        <w:t>Provide</w:t>
      </w:r>
      <w:r w:rsidR="001242FC" w:rsidRPr="00014F37">
        <w:rPr>
          <w:rFonts w:cs="Arial"/>
        </w:rPr>
        <w:t xml:space="preserve"> resources required to conduct necessary sampling and obtain analyses from an accredited laboratory</w:t>
      </w:r>
      <w:r w:rsidR="001455CC" w:rsidRPr="00014F37">
        <w:rPr>
          <w:rFonts w:cs="Arial"/>
        </w:rPr>
        <w:t>.</w:t>
      </w:r>
    </w:p>
    <w:p w14:paraId="4B139C84" w14:textId="0BA57A1D" w:rsidR="0058636F" w:rsidRPr="00014F37" w:rsidRDefault="00014F37" w:rsidP="00014F37">
      <w:pPr>
        <w:ind w:left="720" w:hanging="720"/>
      </w:pPr>
      <w:r>
        <w:t>2.4</w:t>
      </w:r>
      <w:r>
        <w:tab/>
      </w:r>
      <w:r w:rsidR="00267A2E" w:rsidRPr="00014F37">
        <w:t>M</w:t>
      </w:r>
      <w:r w:rsidR="001242FC" w:rsidRPr="00014F37">
        <w:t xml:space="preserve">arketing of the Extra Strength Surcharge Program and promoting awareness by educating owners about the risks, hazards and costs associated with </w:t>
      </w:r>
      <w:r w:rsidR="0058636F" w:rsidRPr="00014F37">
        <w:t xml:space="preserve">discharging Sewage that exceeds By-law parameter limits. </w:t>
      </w:r>
    </w:p>
    <w:p w14:paraId="50752E13" w14:textId="7463E19B" w:rsidR="0090099E" w:rsidRPr="00014F37" w:rsidRDefault="00290866" w:rsidP="00014F37">
      <w:pPr>
        <w:keepNext/>
        <w:keepLines/>
        <w:spacing w:before="0" w:after="200" w:line="276" w:lineRule="auto"/>
        <w:ind w:left="90"/>
        <w:outlineLvl w:val="0"/>
        <w:rPr>
          <w:rFonts w:eastAsiaTheme="majorEastAsia" w:cstheme="majorBidi"/>
          <w:b/>
          <w:bCs/>
          <w:color w:val="2C3D7A"/>
          <w:sz w:val="28"/>
          <w:szCs w:val="28"/>
        </w:rPr>
      </w:pPr>
      <w:r w:rsidRPr="00014F37">
        <w:rPr>
          <w:rFonts w:eastAsiaTheme="majorEastAsia" w:cstheme="majorBidi"/>
          <w:b/>
          <w:bCs/>
          <w:color w:val="2C3D7A"/>
          <w:sz w:val="28"/>
          <w:szCs w:val="28"/>
        </w:rPr>
        <w:t>R</w:t>
      </w:r>
      <w:r w:rsidR="0090099E" w:rsidRPr="00014F37">
        <w:rPr>
          <w:rFonts w:eastAsiaTheme="majorEastAsia" w:cstheme="majorBidi"/>
          <w:b/>
          <w:bCs/>
          <w:color w:val="2C3D7A"/>
          <w:sz w:val="28"/>
          <w:szCs w:val="28"/>
        </w:rPr>
        <w:t>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0099E" w:rsidRPr="006173E2" w14:paraId="6967CF86" w14:textId="77777777" w:rsidTr="001455CC">
        <w:trPr>
          <w:trHeight w:val="756"/>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1455CC">
        <w:trPr>
          <w:trHeight w:val="756"/>
        </w:trPr>
        <w:tc>
          <w:tcPr>
            <w:tcW w:w="1217" w:type="dxa"/>
            <w:vAlign w:val="center"/>
          </w:tcPr>
          <w:p w14:paraId="4E914901" w14:textId="77777777" w:rsidR="0090099E" w:rsidRPr="006173E2" w:rsidRDefault="0090099E" w:rsidP="00FE48B2">
            <w:pPr>
              <w:rPr>
                <w:rFonts w:cs="Arial"/>
              </w:rPr>
            </w:pPr>
            <w:r w:rsidRPr="006173E2">
              <w:rPr>
                <w:rFonts w:cs="Arial"/>
              </w:rPr>
              <w:lastRenderedPageBreak/>
              <w:t>0.0</w:t>
            </w:r>
          </w:p>
        </w:tc>
        <w:tc>
          <w:tcPr>
            <w:tcW w:w="970" w:type="dxa"/>
            <w:vAlign w:val="center"/>
          </w:tcPr>
          <w:p w14:paraId="36AA98D6" w14:textId="1540B161" w:rsidR="0090099E" w:rsidRPr="006173E2" w:rsidRDefault="00014F37" w:rsidP="00FE48B2">
            <w:pPr>
              <w:rPr>
                <w:rFonts w:cs="Arial"/>
              </w:rPr>
            </w:pPr>
            <w:r>
              <w:rPr>
                <w:rFonts w:cs="Arial"/>
              </w:rPr>
              <w:t>June 25, 2024</w:t>
            </w:r>
          </w:p>
        </w:tc>
        <w:tc>
          <w:tcPr>
            <w:tcW w:w="3933" w:type="dxa"/>
            <w:vAlign w:val="center"/>
          </w:tcPr>
          <w:p w14:paraId="49B60BAE" w14:textId="77777777" w:rsidR="0090099E" w:rsidRPr="006173E2" w:rsidRDefault="0090099E" w:rsidP="00FE48B2">
            <w:pPr>
              <w:rPr>
                <w:rFonts w:cs="Arial"/>
              </w:rPr>
            </w:pPr>
            <w:r w:rsidRPr="006173E2">
              <w:rPr>
                <w:rFonts w:cs="Arial"/>
              </w:rPr>
              <w:t>Initial Release</w:t>
            </w:r>
          </w:p>
        </w:tc>
        <w:tc>
          <w:tcPr>
            <w:tcW w:w="2160" w:type="dxa"/>
            <w:vAlign w:val="center"/>
          </w:tcPr>
          <w:p w14:paraId="67EAE60E" w14:textId="77777777" w:rsidR="0090099E" w:rsidRPr="006173E2" w:rsidRDefault="0090099E" w:rsidP="00FE48B2">
            <w:pPr>
              <w:rPr>
                <w:rFonts w:cs="Arial"/>
              </w:rPr>
            </w:pPr>
          </w:p>
        </w:tc>
      </w:tr>
    </w:tbl>
    <w:p w14:paraId="151F55A9" w14:textId="0BE34120" w:rsidR="008E5E29" w:rsidRPr="009E7C86" w:rsidRDefault="008E5E29" w:rsidP="0089483B">
      <w:pPr>
        <w:spacing w:before="0" w:after="200" w:line="276" w:lineRule="auto"/>
        <w:rPr>
          <w:rFonts w:ascii="Tahoma" w:hAnsi="Tahoma" w:cs="Tahoma"/>
        </w:rPr>
      </w:pPr>
    </w:p>
    <w:sectPr w:rsidR="008E5E29" w:rsidRPr="009E7C86" w:rsidSect="008E5E29">
      <w:headerReference w:type="default" r:id="rId10"/>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59C5" w14:textId="77777777" w:rsidR="00E96DDD" w:rsidRDefault="00E96DDD" w:rsidP="00226B10">
      <w:r>
        <w:separator/>
      </w:r>
    </w:p>
  </w:endnote>
  <w:endnote w:type="continuationSeparator" w:id="0">
    <w:p w14:paraId="29F6C0FF" w14:textId="77777777" w:rsidR="00E96DDD" w:rsidRDefault="00E96DDD"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3113BA76" w:rsidR="00A136DA" w:rsidRPr="00A136DA" w:rsidRDefault="00014F37" w:rsidP="00A136DA">
            <w:pPr>
              <w:pStyle w:val="Footer"/>
              <w:jc w:val="right"/>
              <w:rPr>
                <w:rFonts w:ascii="Tahoma" w:hAnsi="Tahoma" w:cs="Tahoma"/>
                <w:sz w:val="20"/>
                <w:szCs w:val="20"/>
              </w:rPr>
            </w:pPr>
            <w:r>
              <w:rPr>
                <w:rFonts w:ascii="Tahoma" w:hAnsi="Tahoma" w:cs="Tahoma"/>
                <w:sz w:val="20"/>
                <w:szCs w:val="20"/>
              </w:rPr>
              <w:t>CP2024-008</w:t>
            </w:r>
            <w:r w:rsidR="00664F1D">
              <w:rPr>
                <w:rFonts w:ascii="Tahoma" w:hAnsi="Tahoma" w:cs="Tahoma"/>
                <w:sz w:val="20"/>
                <w:szCs w:val="20"/>
              </w:rPr>
              <w:t xml:space="preserve"> Extra Strength Surcharge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Pr>
                <w:rFonts w:ascii="Tahoma" w:hAnsi="Tahoma" w:cs="Tahoma"/>
                <w:bCs/>
                <w:noProof/>
                <w:sz w:val="20"/>
                <w:szCs w:val="20"/>
              </w:rPr>
              <w:t>4</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Pr>
                <w:rFonts w:ascii="Tahoma" w:hAnsi="Tahoma" w:cs="Tahoma"/>
                <w:bCs/>
                <w:noProof/>
                <w:sz w:val="20"/>
                <w:szCs w:val="20"/>
              </w:rPr>
              <w:t>4</w:t>
            </w:r>
            <w:r w:rsidR="00A136DA" w:rsidRPr="00A136DA">
              <w:rPr>
                <w:rFonts w:ascii="Tahoma" w:hAnsi="Tahoma" w:cs="Tahoma"/>
                <w:bCs/>
                <w:sz w:val="20"/>
                <w:szCs w:val="20"/>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BBF5" w14:textId="77777777" w:rsidR="00E96DDD" w:rsidRDefault="00E96DDD" w:rsidP="00226B10">
      <w:r>
        <w:separator/>
      </w:r>
    </w:p>
  </w:footnote>
  <w:footnote w:type="continuationSeparator" w:id="0">
    <w:p w14:paraId="4F77D59D" w14:textId="77777777" w:rsidR="00E96DDD" w:rsidRDefault="00E96DDD"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7F28" w14:textId="4137274A" w:rsidR="00014F37" w:rsidRDefault="00014F37" w:rsidP="00014F37">
    <w:pPr>
      <w:pStyle w:val="Header"/>
      <w:tabs>
        <w:tab w:val="clear" w:pos="4680"/>
        <w:tab w:val="clear" w:pos="9360"/>
        <w:tab w:val="left" w:pos="3504"/>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B75F6"/>
    <w:multiLevelType w:val="multilevel"/>
    <w:tmpl w:val="A3EAD2A0"/>
    <w:lvl w:ilvl="0">
      <w:start w:val="1"/>
      <w:numFmt w:val="decimal"/>
      <w:lvlText w:val="%1.0"/>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607C5E"/>
    <w:multiLevelType w:val="multilevel"/>
    <w:tmpl w:val="506E135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7877B0"/>
    <w:multiLevelType w:val="multilevel"/>
    <w:tmpl w:val="506E135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04894"/>
    <w:rsid w:val="00011557"/>
    <w:rsid w:val="00014F37"/>
    <w:rsid w:val="0001504C"/>
    <w:rsid w:val="00065EA2"/>
    <w:rsid w:val="000A25F4"/>
    <w:rsid w:val="001242FC"/>
    <w:rsid w:val="001455CC"/>
    <w:rsid w:val="00170791"/>
    <w:rsid w:val="00185857"/>
    <w:rsid w:val="00226B10"/>
    <w:rsid w:val="00245B69"/>
    <w:rsid w:val="00267A2E"/>
    <w:rsid w:val="00277043"/>
    <w:rsid w:val="0028599E"/>
    <w:rsid w:val="00290866"/>
    <w:rsid w:val="002E4AF3"/>
    <w:rsid w:val="00331815"/>
    <w:rsid w:val="00365D81"/>
    <w:rsid w:val="00390741"/>
    <w:rsid w:val="003B3113"/>
    <w:rsid w:val="003B5226"/>
    <w:rsid w:val="003E69C2"/>
    <w:rsid w:val="00430ACA"/>
    <w:rsid w:val="0045372F"/>
    <w:rsid w:val="00490EA0"/>
    <w:rsid w:val="004B6680"/>
    <w:rsid w:val="004C1A0E"/>
    <w:rsid w:val="004E47B9"/>
    <w:rsid w:val="00535392"/>
    <w:rsid w:val="0055312C"/>
    <w:rsid w:val="00567A83"/>
    <w:rsid w:val="0058636F"/>
    <w:rsid w:val="00610F81"/>
    <w:rsid w:val="006275D5"/>
    <w:rsid w:val="00654DD5"/>
    <w:rsid w:val="00664F1D"/>
    <w:rsid w:val="006C50B4"/>
    <w:rsid w:val="00705A32"/>
    <w:rsid w:val="0071150B"/>
    <w:rsid w:val="00731F04"/>
    <w:rsid w:val="00734C59"/>
    <w:rsid w:val="0077015C"/>
    <w:rsid w:val="007927AF"/>
    <w:rsid w:val="007A70F3"/>
    <w:rsid w:val="007C11A2"/>
    <w:rsid w:val="007E150D"/>
    <w:rsid w:val="00836E59"/>
    <w:rsid w:val="0089483B"/>
    <w:rsid w:val="008C4B7F"/>
    <w:rsid w:val="008E5E29"/>
    <w:rsid w:val="0090099E"/>
    <w:rsid w:val="00910C7F"/>
    <w:rsid w:val="009D7A20"/>
    <w:rsid w:val="009E6328"/>
    <w:rsid w:val="009E7C86"/>
    <w:rsid w:val="009F2B8E"/>
    <w:rsid w:val="00A136DA"/>
    <w:rsid w:val="00AD122D"/>
    <w:rsid w:val="00AD786E"/>
    <w:rsid w:val="00B467E6"/>
    <w:rsid w:val="00B50C70"/>
    <w:rsid w:val="00B50ED1"/>
    <w:rsid w:val="00B565E4"/>
    <w:rsid w:val="00B614C0"/>
    <w:rsid w:val="00C0794A"/>
    <w:rsid w:val="00C07B38"/>
    <w:rsid w:val="00C506F2"/>
    <w:rsid w:val="00C54138"/>
    <w:rsid w:val="00CA1BC6"/>
    <w:rsid w:val="00CA51E2"/>
    <w:rsid w:val="00CB4DD9"/>
    <w:rsid w:val="00CC4504"/>
    <w:rsid w:val="00CE3264"/>
    <w:rsid w:val="00D10DFA"/>
    <w:rsid w:val="00D57B20"/>
    <w:rsid w:val="00DB21A4"/>
    <w:rsid w:val="00DB3D91"/>
    <w:rsid w:val="00DC7F93"/>
    <w:rsid w:val="00E54C64"/>
    <w:rsid w:val="00E96821"/>
    <w:rsid w:val="00E96DDD"/>
    <w:rsid w:val="00ED31D8"/>
    <w:rsid w:val="00ED31E4"/>
    <w:rsid w:val="00EF1D53"/>
    <w:rsid w:val="00F43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14F37"/>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uiPriority w:val="59"/>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A83"/>
    <w:pPr>
      <w:ind w:left="720"/>
      <w:contextualSpacing/>
    </w:pPr>
  </w:style>
  <w:style w:type="character" w:styleId="CommentReference">
    <w:name w:val="annotation reference"/>
    <w:basedOn w:val="DefaultParagraphFont"/>
    <w:uiPriority w:val="99"/>
    <w:semiHidden/>
    <w:unhideWhenUsed/>
    <w:rsid w:val="001455CC"/>
    <w:rPr>
      <w:sz w:val="16"/>
      <w:szCs w:val="16"/>
    </w:rPr>
  </w:style>
  <w:style w:type="paragraph" w:styleId="CommentText">
    <w:name w:val="annotation text"/>
    <w:basedOn w:val="Normal"/>
    <w:link w:val="CommentTextChar"/>
    <w:uiPriority w:val="99"/>
    <w:semiHidden/>
    <w:unhideWhenUsed/>
    <w:rsid w:val="001455CC"/>
    <w:rPr>
      <w:sz w:val="20"/>
      <w:szCs w:val="20"/>
    </w:rPr>
  </w:style>
  <w:style w:type="character" w:customStyle="1" w:styleId="CommentTextChar">
    <w:name w:val="Comment Text Char"/>
    <w:basedOn w:val="DefaultParagraphFont"/>
    <w:link w:val="CommentText"/>
    <w:uiPriority w:val="99"/>
    <w:semiHidden/>
    <w:rsid w:val="001455C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455CC"/>
    <w:rPr>
      <w:b/>
      <w:bCs/>
    </w:rPr>
  </w:style>
  <w:style w:type="character" w:customStyle="1" w:styleId="CommentSubjectChar">
    <w:name w:val="Comment Subject Char"/>
    <w:basedOn w:val="CommentTextChar"/>
    <w:link w:val="CommentSubject"/>
    <w:uiPriority w:val="99"/>
    <w:semiHidden/>
    <w:rsid w:val="001455CC"/>
    <w:rPr>
      <w:rFonts w:ascii="Arial" w:eastAsia="Times New Roman" w:hAnsi="Arial" w:cs="Times New Roman"/>
      <w:b/>
      <w:bCs/>
      <w:sz w:val="20"/>
      <w:szCs w:val="20"/>
      <w:lang w:val="en-US"/>
    </w:rPr>
  </w:style>
  <w:style w:type="paragraph" w:styleId="Caption">
    <w:name w:val="caption"/>
    <w:basedOn w:val="Normal"/>
    <w:next w:val="Normal"/>
    <w:uiPriority w:val="35"/>
    <w:unhideWhenUsed/>
    <w:qFormat/>
    <w:rsid w:val="008C4B7F"/>
    <w:pPr>
      <w:spacing w:before="0" w:after="200"/>
    </w:pPr>
    <w:rPr>
      <w:i/>
      <w:iCs/>
      <w:color w:val="1F497D" w:themeColor="text2"/>
      <w:sz w:val="18"/>
      <w:szCs w:val="18"/>
    </w:rPr>
  </w:style>
  <w:style w:type="character" w:customStyle="1" w:styleId="Heading2Char">
    <w:name w:val="Heading 2 Char"/>
    <w:basedOn w:val="DefaultParagraphFont"/>
    <w:link w:val="Heading2"/>
    <w:uiPriority w:val="9"/>
    <w:rsid w:val="00014F37"/>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COKL Form" ma:contentTypeID="0x010100E24A556774E52E4FBFF9E8F286F22CDF030013C27CE3AE4D404AA9FD7402F96D4510" ma:contentTypeVersion="27" ma:contentTypeDescription="" ma:contentTypeScope="" ma:versionID="2097c79b7d3c97a0e3cdc67986e29d25">
  <xsd:schema xmlns:xsd="http://www.w3.org/2001/XMLSchema" xmlns:xs="http://www.w3.org/2001/XMLSchema" xmlns:p="http://schemas.microsoft.com/office/2006/metadata/properties" xmlns:ns2="e63dacc3-515c-4cce-91e5-d3c507c5e648" xmlns:ns3="aeb2b8ff-c97c-49e8-bf21-69fafce1ab57" targetNamespace="http://schemas.microsoft.com/office/2006/metadata/properties" ma:root="true" ma:fieldsID="bfd8633f058f8750b357d902c2f58c2f" ns2:_="" ns3:_="">
    <xsd:import namespace="e63dacc3-515c-4cce-91e5-d3c507c5e648"/>
    <xsd:import namespace="aeb2b8ff-c97c-49e8-bf21-69fafce1ab57"/>
    <xsd:element name="properties">
      <xsd:complexType>
        <xsd:sequence>
          <xsd:element name="documentManagement">
            <xsd:complexType>
              <xsd:all>
                <xsd:element ref="ns2:Records_x0020_Classification"/>
                <xsd:element ref="ns2:COKL_x0020_Division"/>
                <xsd:element ref="ns2:Form_x0020_Number" minOccurs="0"/>
                <xsd:element ref="ns2:COKL_x0020_Department"/>
                <xsd:element ref="ns2:Form_x0020_Title"/>
                <xsd:element ref="ns2:COKL_x0020_Subject"/>
                <xsd:element ref="ns2:Effective_x0020_Date"/>
                <xsd:element ref="ns2:Related_x0020_Document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ma:displayName="COKL Division" ma:list="{8b0bd5aa-49dc-4c2a-a0cd-0e9b57f4f978}" ma:internalName="COKL_x0020_Division" ma:readOnly="false" ma:showField="Title" ma:web="e63dacc3-515c-4cce-91e5-d3c507c5e648">
      <xsd:simpleType>
        <xsd:restriction base="dms:Lookup"/>
      </xsd:simpleType>
    </xsd:element>
    <xsd:element name="Form_x0020_Number" ma:index="3" nillable="true" ma:displayName="Form Number" ma:internalName="Form_x0020_Number" ma:readOnly="false">
      <xsd:simpleType>
        <xsd:restriction base="dms:Text">
          <xsd:maxLength value="255"/>
        </xsd:restriction>
      </xsd:simpleType>
    </xsd:element>
    <xsd:element name="COKL_x0020_Department" ma:index="4" ma:displayName="COKL Department" ma:list="{5ad13002-3623-4d76-9b69-b54ec664ec11}" ma:internalName="COKL_x0020_Department" ma:readOnly="false" ma:showField="Title" ma:web="e63dacc3-515c-4cce-91e5-d3c507c5e648">
      <xsd:simpleType>
        <xsd:restriction base="dms:Lookup"/>
      </xsd:simpleType>
    </xsd:element>
    <xsd:element name="Form_x0020_Title" ma:index="5" ma:displayName="Form Title" ma:internalName="Form_x0020_Title" ma:readOnly="false">
      <xsd:simpleType>
        <xsd:restriction base="dms:Text">
          <xsd:maxLength value="255"/>
        </xsd:restriction>
      </xsd:simpleType>
    </xsd:element>
    <xsd:element name="COKL_x0020_Subject" ma:index="6" ma:displayName="COKL Subject" ma:internalName="COKL_x0020_Subject" ma:readOnly="false">
      <xsd:simpleType>
        <xsd:restriction base="dms:Text">
          <xsd:maxLength value="255"/>
        </xsd:restriction>
      </xsd:simpleType>
    </xsd:element>
    <xsd:element name="Effective_x0020_Date" ma:index="7" ma:displayName="Effective Date" ma:default="[today]" ma:format="DateOnly" ma:internalName="Effective_x0020_Date" ma:readOnly="false">
      <xsd:simpleType>
        <xsd:restriction base="dms:DateTime"/>
      </xsd:simpleType>
    </xsd:element>
    <xsd:element name="Related_x0020_Documents" ma:index="8" nillable="true" ma:displayName="Related Documents" ma:internalName="Related_x0020_Docu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b2b8ff-c97c-49e8-bf21-69fafce1ab5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Related_x0020_Documents xmlns="e63dacc3-515c-4cce-91e5-d3c507c5e648" xsi:nil="true"/>
    <COKL_x0020_Division xmlns="e63dacc3-515c-4cce-91e5-d3c507c5e648">14</COKL_x0020_Division>
    <COKL_x0020_Subject xmlns="e63dacc3-515c-4cce-91e5-d3c507c5e648">Standard Operating Procedure Template</COKL_x0020_Subject>
    <Form_x0020_Title xmlns="e63dacc3-515c-4cce-91e5-d3c507c5e648">Standard Operating Procedure Tempalte</Form_x0020_Title>
    <Form_x0020_Number xmlns="e63dacc3-515c-4cce-91e5-d3c507c5e648" xsi:nil="true"/>
    <COKL_x0020_Department xmlns="e63dacc3-515c-4cce-91e5-d3c507c5e648">5</COKL_x0020_Department>
    <Effective_x0020_Date xmlns="e63dacc3-515c-4cce-91e5-d3c507c5e648">2021-01-20T05:00:00+00:00</Effective_x0020_Date>
  </documentManagement>
</p:properties>
</file>

<file path=customXml/itemProps1.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2.xml><?xml version="1.0" encoding="utf-8"?>
<ds:datastoreItem xmlns:ds="http://schemas.openxmlformats.org/officeDocument/2006/customXml" ds:itemID="{7FB42422-7A16-4A8A-BFCB-AF41025C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aeb2b8ff-c97c-49e8-bf21-69fafce1a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cp:lastPrinted>2023-11-09T20:24:00Z</cp:lastPrinted>
  <dcterms:created xsi:type="dcterms:W3CDTF">2025-01-02T20:02:00Z</dcterms:created>
  <dcterms:modified xsi:type="dcterms:W3CDTF">2025-01-02T20:02:00Z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0x010100E24A556774E52E4FBFF9E8F286F22CDF030013C27CE3AE4D404AA9FD7402F96D4510</vt:lpwstr>
  </property>
  <property fmtid="{D5CDD505-2E9C-101B-9397-08002B2CF9AE}" pid="3" name="_dlc_DocIdItemGuid">
    <vt:lpwstr>7295c25d-b80f-4b1d-9020-4dc63b3129dd</vt:lpwstr>
  </property>
</Properties>
</file>