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EF4E47" w14:paraId="7A618CDE" w14:textId="77777777" w:rsidTr="00822E03">
        <w:trPr>
          <w:trHeight w:val="521"/>
        </w:trPr>
        <w:tc>
          <w:tcPr>
            <w:tcW w:w="4695" w:type="dxa"/>
            <w:vAlign w:val="center"/>
          </w:tcPr>
          <w:p w14:paraId="2BFBF90E" w14:textId="77777777" w:rsidR="00EF4E47" w:rsidRDefault="00EF4E47" w:rsidP="00EF4E47">
            <w:pPr>
              <w:rPr>
                <w:rFonts w:cs="Arial"/>
              </w:rPr>
            </w:pPr>
            <w:bookmarkStart w:id="0" w:name="_GoBack"/>
            <w:bookmarkEnd w:id="0"/>
            <w:r w:rsidRPr="00677D1E">
              <w:rPr>
                <w:rFonts w:cs="Arial"/>
              </w:rPr>
              <w:t>Council Policy No.:</w:t>
            </w:r>
          </w:p>
        </w:tc>
        <w:tc>
          <w:tcPr>
            <w:tcW w:w="4655" w:type="dxa"/>
          </w:tcPr>
          <w:p w14:paraId="1B19BB78" w14:textId="1B6BB436" w:rsidR="00EF4E47" w:rsidRDefault="00EF4E47" w:rsidP="002F661F">
            <w:pPr>
              <w:rPr>
                <w:rFonts w:cs="Arial"/>
              </w:rPr>
            </w:pPr>
            <w:r w:rsidRPr="00CC2438">
              <w:t>CP201</w:t>
            </w:r>
            <w:r w:rsidR="002F661F">
              <w:t>9</w:t>
            </w:r>
            <w:r w:rsidRPr="00CC2438">
              <w:t>-00</w:t>
            </w:r>
            <w:r w:rsidR="00A3629C">
              <w:t>6</w:t>
            </w:r>
          </w:p>
        </w:tc>
      </w:tr>
      <w:tr w:rsidR="00EF4E47" w14:paraId="6291EB1E" w14:textId="77777777" w:rsidTr="00822E03">
        <w:trPr>
          <w:trHeight w:val="539"/>
        </w:trPr>
        <w:tc>
          <w:tcPr>
            <w:tcW w:w="4695" w:type="dxa"/>
            <w:vAlign w:val="center"/>
          </w:tcPr>
          <w:p w14:paraId="0B661251" w14:textId="77777777" w:rsidR="00EF4E47" w:rsidRDefault="00EF4E47" w:rsidP="00EF4E47">
            <w:pPr>
              <w:rPr>
                <w:rFonts w:cs="Arial"/>
              </w:rPr>
            </w:pPr>
            <w:r w:rsidRPr="00677D1E">
              <w:rPr>
                <w:rFonts w:cs="Arial"/>
              </w:rPr>
              <w:t>Council Policy Name:</w:t>
            </w:r>
          </w:p>
        </w:tc>
        <w:tc>
          <w:tcPr>
            <w:tcW w:w="4655" w:type="dxa"/>
          </w:tcPr>
          <w:p w14:paraId="4D8634D1" w14:textId="4AC173F9" w:rsidR="00EF4E47" w:rsidRDefault="00EF4E47" w:rsidP="00EF4E47">
            <w:pPr>
              <w:rPr>
                <w:rFonts w:cs="Arial"/>
              </w:rPr>
            </w:pPr>
            <w:r w:rsidRPr="00CC2438">
              <w:t>Alcohol Management on Municipal Premises</w:t>
            </w:r>
          </w:p>
        </w:tc>
      </w:tr>
      <w:tr w:rsidR="00EF4E47" w14:paraId="42569A58" w14:textId="77777777" w:rsidTr="00822E03">
        <w:trPr>
          <w:trHeight w:val="530"/>
        </w:trPr>
        <w:tc>
          <w:tcPr>
            <w:tcW w:w="4695" w:type="dxa"/>
            <w:vAlign w:val="center"/>
          </w:tcPr>
          <w:p w14:paraId="12F5D26A" w14:textId="77777777" w:rsidR="00EF4E47" w:rsidRDefault="00EF4E47" w:rsidP="00EF4E47">
            <w:pPr>
              <w:rPr>
                <w:rFonts w:cs="Arial"/>
              </w:rPr>
            </w:pPr>
            <w:r w:rsidRPr="00677D1E">
              <w:rPr>
                <w:rFonts w:cs="Arial"/>
              </w:rPr>
              <w:t>Date Approved by Council:</w:t>
            </w:r>
          </w:p>
        </w:tc>
        <w:tc>
          <w:tcPr>
            <w:tcW w:w="4655" w:type="dxa"/>
          </w:tcPr>
          <w:p w14:paraId="462FB153" w14:textId="4234C14E" w:rsidR="00EF4E47" w:rsidRDefault="00EF4E47" w:rsidP="00EF4E47">
            <w:pPr>
              <w:rPr>
                <w:rFonts w:cs="Arial"/>
              </w:rPr>
            </w:pPr>
            <w:r w:rsidRPr="00CC2438">
              <w:t>January 10, 2005</w:t>
            </w:r>
          </w:p>
        </w:tc>
      </w:tr>
      <w:tr w:rsidR="00EF4E47" w14:paraId="59B74F8F" w14:textId="77777777" w:rsidTr="00822E03">
        <w:trPr>
          <w:trHeight w:val="530"/>
        </w:trPr>
        <w:tc>
          <w:tcPr>
            <w:tcW w:w="4695" w:type="dxa"/>
            <w:vAlign w:val="center"/>
          </w:tcPr>
          <w:p w14:paraId="0F6C028E" w14:textId="77777777" w:rsidR="00EF4E47" w:rsidRDefault="00EF4E47" w:rsidP="00EF4E47">
            <w:pPr>
              <w:rPr>
                <w:rFonts w:cs="Arial"/>
              </w:rPr>
            </w:pPr>
            <w:r w:rsidRPr="00677D1E">
              <w:rPr>
                <w:rFonts w:cs="Arial"/>
              </w:rPr>
              <w:t>Date revision approved by Council:</w:t>
            </w:r>
          </w:p>
        </w:tc>
        <w:tc>
          <w:tcPr>
            <w:tcW w:w="4655" w:type="dxa"/>
          </w:tcPr>
          <w:p w14:paraId="15431558" w14:textId="58888E51" w:rsidR="00EF4E47" w:rsidRDefault="00C2623F" w:rsidP="00C2623F">
            <w:pPr>
              <w:rPr>
                <w:rFonts w:cs="Arial"/>
              </w:rPr>
            </w:pPr>
            <w:r>
              <w:t>June 18, 2019</w:t>
            </w:r>
          </w:p>
        </w:tc>
      </w:tr>
      <w:tr w:rsidR="003731C2" w14:paraId="1AE59D39" w14:textId="77777777" w:rsidTr="00553F05">
        <w:trPr>
          <w:trHeight w:val="770"/>
        </w:trPr>
        <w:tc>
          <w:tcPr>
            <w:tcW w:w="4695" w:type="dxa"/>
            <w:vAlign w:val="center"/>
          </w:tcPr>
          <w:p w14:paraId="687410E4" w14:textId="77777777" w:rsidR="003731C2" w:rsidRDefault="003731C2" w:rsidP="003731C2">
            <w:pPr>
              <w:rPr>
                <w:rFonts w:cs="Arial"/>
              </w:rPr>
            </w:pPr>
            <w:r w:rsidRPr="00677D1E">
              <w:rPr>
                <w:rFonts w:cs="Arial"/>
              </w:rPr>
              <w:t>Related SOP, Management Directive, Council Policy, Forms</w:t>
            </w:r>
          </w:p>
        </w:tc>
        <w:tc>
          <w:tcPr>
            <w:tcW w:w="4655" w:type="dxa"/>
          </w:tcPr>
          <w:p w14:paraId="2F6C4F30" w14:textId="15BB9ABD" w:rsidR="003731C2" w:rsidRDefault="003731C2" w:rsidP="003731C2">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611F82A8" w14:textId="77777777" w:rsidR="00EF4E47" w:rsidRPr="004A708B" w:rsidRDefault="00EF4E47" w:rsidP="00EF4E47">
      <w:pPr>
        <w:rPr>
          <w:rFonts w:eastAsiaTheme="majorEastAsia"/>
        </w:rPr>
      </w:pPr>
      <w:r w:rsidRPr="004A708B">
        <w:rPr>
          <w:rFonts w:eastAsiaTheme="majorEastAsia"/>
        </w:rPr>
        <w:t xml:space="preserve">The City of Kawartha Lakes recognizes that events and/or activities are held on </w:t>
      </w:r>
      <w:r>
        <w:rPr>
          <w:rFonts w:eastAsiaTheme="majorEastAsia"/>
        </w:rPr>
        <w:t xml:space="preserve">municipal </w:t>
      </w:r>
      <w:r w:rsidRPr="004A708B">
        <w:rPr>
          <w:rFonts w:eastAsiaTheme="majorEastAsia"/>
        </w:rPr>
        <w:t>properties where the serving of alcohol is desired by the renter and/or by the City.</w:t>
      </w:r>
    </w:p>
    <w:p w14:paraId="10E446DE" w14:textId="77777777" w:rsidR="00EF4E47" w:rsidRPr="004A708B" w:rsidRDefault="00EF4E47" w:rsidP="00EF4E47">
      <w:pPr>
        <w:rPr>
          <w:rFonts w:eastAsiaTheme="majorEastAsia"/>
        </w:rPr>
      </w:pPr>
      <w:r w:rsidRPr="004A708B">
        <w:rPr>
          <w:rFonts w:eastAsiaTheme="majorEastAsia"/>
        </w:rPr>
        <w:t>To allow the full enjoyment of such events by renters and/or participants, and to ensure the health and safety of all residents, the City recognizes its responsibility to make renters aware of the potential liability of operating alcohol-related events and to reduce the City’s exposure to alcohol-related liabilities.</w:t>
      </w:r>
    </w:p>
    <w:p w14:paraId="207F7257" w14:textId="77777777" w:rsidR="00EF4E47" w:rsidRPr="004A708B" w:rsidRDefault="00EF4E47" w:rsidP="00EF4E47">
      <w:pPr>
        <w:rPr>
          <w:rFonts w:eastAsiaTheme="majorEastAsia"/>
        </w:rPr>
      </w:pPr>
      <w:r w:rsidRPr="004A708B">
        <w:rPr>
          <w:rFonts w:eastAsiaTheme="majorEastAsia"/>
        </w:rPr>
        <w:t>The City also recognizes its responsibility to make renters aware of situations where alcohol, while traditionally or historically present for such events, is not acceptable under this policy.</w:t>
      </w:r>
    </w:p>
    <w:p w14:paraId="54523637" w14:textId="77777777" w:rsidR="00EF4E47" w:rsidRPr="00F036C7" w:rsidRDefault="00EF4E47" w:rsidP="00EF4E47">
      <w:pPr>
        <w:rPr>
          <w:rFonts w:eastAsiaTheme="majorEastAsia"/>
        </w:rPr>
      </w:pPr>
      <w:r w:rsidRPr="004A708B">
        <w:rPr>
          <w:rFonts w:eastAsiaTheme="majorEastAsia"/>
        </w:rPr>
        <w:t>This policy has been developed to establish responsible management practices for all functions or occasions where alcohol is served, at, in, or on City of Kawartha Lakes facilities or properties.</w:t>
      </w:r>
    </w:p>
    <w:p w14:paraId="62838177" w14:textId="644B1239" w:rsidR="0090099E" w:rsidRDefault="0090099E" w:rsidP="00B12CB8">
      <w:pPr>
        <w:pStyle w:val="Heading1"/>
      </w:pPr>
      <w:r w:rsidRPr="00B12CB8">
        <w:t>Scope:</w:t>
      </w:r>
    </w:p>
    <w:p w14:paraId="5A3BB904" w14:textId="77777777" w:rsidR="00EF4E47" w:rsidRPr="004A708B" w:rsidRDefault="00EF4E47" w:rsidP="00EF4E47">
      <w:pPr>
        <w:rPr>
          <w:rFonts w:eastAsiaTheme="majorEastAsia"/>
        </w:rPr>
      </w:pPr>
      <w:r w:rsidRPr="004A708B">
        <w:rPr>
          <w:rFonts w:eastAsiaTheme="majorEastAsia"/>
        </w:rPr>
        <w:t>This policy applies to renters of City facilities or properties at, in, or upon which alcohol may be served.</w:t>
      </w:r>
    </w:p>
    <w:p w14:paraId="32CBD348" w14:textId="263E1C35"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Policy:</w:t>
      </w:r>
    </w:p>
    <w:p w14:paraId="29E27ECD" w14:textId="77777777" w:rsidR="00EF4E47" w:rsidRPr="00EF4E47" w:rsidRDefault="00F92086" w:rsidP="00EF4E47">
      <w:pPr>
        <w:pStyle w:val="Heading2"/>
      </w:pPr>
      <w:r>
        <w:t>1.</w:t>
      </w:r>
      <w:r>
        <w:tab/>
      </w:r>
      <w:r w:rsidR="00EF4E47" w:rsidRPr="00EF4E47">
        <w:t>Eligible Facilities and Areas</w:t>
      </w:r>
    </w:p>
    <w:p w14:paraId="71273924" w14:textId="77777777" w:rsidR="00EF4E47" w:rsidRPr="00EF4E47" w:rsidRDefault="00EF4E47" w:rsidP="00EF4E47">
      <w:pPr>
        <w:numPr>
          <w:ilvl w:val="0"/>
          <w:numId w:val="22"/>
        </w:numPr>
        <w:ind w:left="1440" w:hanging="720"/>
        <w:rPr>
          <w:rFonts w:eastAsiaTheme="majorEastAsia"/>
        </w:rPr>
      </w:pPr>
      <w:r w:rsidRPr="00EF4E47">
        <w:rPr>
          <w:rFonts w:eastAsiaTheme="majorEastAsia"/>
        </w:rPr>
        <w:t>A Special Occasion Permit (SOP) is required for all events held in and/or on municipal premises where alcohol is being served and where a Catering Endorsement or other alcohol sales license authorizing the sale and service of alcohol for consumption on that premises is not in effect.</w:t>
      </w:r>
    </w:p>
    <w:p w14:paraId="08C7FC8A" w14:textId="77777777" w:rsidR="00EF4E47" w:rsidRPr="00EF4E47" w:rsidRDefault="00EF4E47" w:rsidP="00EF4E47">
      <w:pPr>
        <w:numPr>
          <w:ilvl w:val="0"/>
          <w:numId w:val="22"/>
        </w:numPr>
        <w:ind w:left="1440" w:hanging="720"/>
        <w:rPr>
          <w:rFonts w:eastAsiaTheme="majorEastAsia"/>
        </w:rPr>
      </w:pPr>
      <w:r w:rsidRPr="00EF4E47">
        <w:rPr>
          <w:rFonts w:eastAsiaTheme="majorEastAsia"/>
        </w:rPr>
        <w:t>A Public SOP may be issued by the Alcohol and Gaming Commission of Ontario (AGCO) to organizations or events meeting the requirements below:</w:t>
      </w:r>
    </w:p>
    <w:p w14:paraId="7B2FE151" w14:textId="77777777" w:rsidR="00EF4E47" w:rsidRPr="00EF4E47" w:rsidRDefault="00EF4E47" w:rsidP="00EF4E47">
      <w:pPr>
        <w:ind w:left="1440"/>
        <w:rPr>
          <w:rFonts w:eastAsiaTheme="majorEastAsia"/>
        </w:rPr>
      </w:pPr>
      <w:r w:rsidRPr="00EF4E47">
        <w:rPr>
          <w:rFonts w:eastAsiaTheme="majorEastAsia"/>
        </w:rPr>
        <w:t>A.</w:t>
      </w:r>
      <w:r w:rsidRPr="00EF4E47">
        <w:rPr>
          <w:rFonts w:eastAsiaTheme="majorEastAsia"/>
        </w:rPr>
        <w:tab/>
        <w:t>A Not-for-profit organization.</w:t>
      </w:r>
    </w:p>
    <w:p w14:paraId="76E3E08D" w14:textId="77777777" w:rsidR="00EF4E47" w:rsidRPr="00EF4E47" w:rsidRDefault="00EF4E47" w:rsidP="00EF4E47">
      <w:pPr>
        <w:ind w:left="2160" w:hanging="720"/>
        <w:rPr>
          <w:rFonts w:eastAsiaTheme="majorEastAsia"/>
        </w:rPr>
      </w:pPr>
      <w:r w:rsidRPr="00EF4E47">
        <w:rPr>
          <w:rFonts w:eastAsiaTheme="majorEastAsia"/>
        </w:rPr>
        <w:t>B.</w:t>
      </w:r>
      <w:r w:rsidRPr="00EF4E47">
        <w:rPr>
          <w:rFonts w:eastAsiaTheme="majorEastAsia"/>
        </w:rPr>
        <w:tab/>
        <w:t>Hold a current restaurant/caterer license that allows for Special Occasion Permits.</w:t>
      </w:r>
    </w:p>
    <w:p w14:paraId="1F2A7271" w14:textId="77777777" w:rsidR="00EF4E47" w:rsidRPr="00EF4E47" w:rsidRDefault="00EF4E47" w:rsidP="00EF4E47">
      <w:pPr>
        <w:ind w:left="1440"/>
        <w:rPr>
          <w:rFonts w:eastAsiaTheme="majorEastAsia"/>
        </w:rPr>
      </w:pPr>
      <w:r w:rsidRPr="00EF4E47">
        <w:rPr>
          <w:rFonts w:eastAsiaTheme="majorEastAsia"/>
        </w:rPr>
        <w:t>C.</w:t>
      </w:r>
      <w:r w:rsidRPr="00EF4E47">
        <w:rPr>
          <w:rFonts w:eastAsiaTheme="majorEastAsia"/>
        </w:rPr>
        <w:tab/>
        <w:t>Qualify as a Municipally Significant Event as declared by Council.</w:t>
      </w:r>
    </w:p>
    <w:p w14:paraId="3A751E36" w14:textId="77777777" w:rsidR="00EF4E47" w:rsidRPr="00EF4E47" w:rsidRDefault="00EF4E47" w:rsidP="00EF4E47">
      <w:pPr>
        <w:numPr>
          <w:ilvl w:val="0"/>
          <w:numId w:val="23"/>
        </w:numPr>
        <w:ind w:left="2880" w:hanging="720"/>
        <w:rPr>
          <w:rFonts w:eastAsiaTheme="majorEastAsia"/>
        </w:rPr>
      </w:pPr>
      <w:r w:rsidRPr="00EF4E47">
        <w:rPr>
          <w:rFonts w:eastAsiaTheme="majorEastAsia"/>
        </w:rPr>
        <w:t>A one time, annual or infrequently occurring event that is open to the public, has a predetermined opening and closing date and time and which:</w:t>
      </w:r>
    </w:p>
    <w:p w14:paraId="3A14CA32" w14:textId="77777777" w:rsidR="00EF4E47" w:rsidRPr="00EF4E47" w:rsidRDefault="00EF4E47" w:rsidP="00EF4E47">
      <w:pPr>
        <w:numPr>
          <w:ilvl w:val="0"/>
          <w:numId w:val="23"/>
        </w:numPr>
        <w:ind w:left="2880" w:hanging="720"/>
        <w:rPr>
          <w:rFonts w:eastAsiaTheme="majorEastAsia"/>
        </w:rPr>
      </w:pPr>
      <w:r w:rsidRPr="00EF4E47">
        <w:rPr>
          <w:rFonts w:eastAsiaTheme="majorEastAsia"/>
        </w:rPr>
        <w:t>Has a local, regional, national or international historical or cultural significance,</w:t>
      </w:r>
    </w:p>
    <w:p w14:paraId="4A9DAC11" w14:textId="77777777" w:rsidR="00EF4E47" w:rsidRPr="00EF4E47" w:rsidRDefault="00EF4E47" w:rsidP="00EF4E47">
      <w:pPr>
        <w:numPr>
          <w:ilvl w:val="0"/>
          <w:numId w:val="23"/>
        </w:numPr>
        <w:ind w:left="2160"/>
        <w:rPr>
          <w:rFonts w:eastAsiaTheme="majorEastAsia"/>
        </w:rPr>
      </w:pPr>
      <w:r w:rsidRPr="00EF4E47">
        <w:rPr>
          <w:rFonts w:eastAsiaTheme="majorEastAsia"/>
        </w:rPr>
        <w:t>Builds awareness of diverse cultures, or</w:t>
      </w:r>
    </w:p>
    <w:p w14:paraId="1DDEE218" w14:textId="77777777" w:rsidR="00EF4E47" w:rsidRPr="00EF4E47" w:rsidRDefault="00EF4E47" w:rsidP="00EF4E47">
      <w:pPr>
        <w:numPr>
          <w:ilvl w:val="0"/>
          <w:numId w:val="23"/>
        </w:numPr>
        <w:ind w:left="2160"/>
        <w:rPr>
          <w:rFonts w:eastAsiaTheme="majorEastAsia"/>
        </w:rPr>
      </w:pPr>
      <w:r w:rsidRPr="00EF4E47">
        <w:rPr>
          <w:rFonts w:eastAsiaTheme="majorEastAsia"/>
        </w:rPr>
        <w:t>Benefits the community at large.</w:t>
      </w:r>
    </w:p>
    <w:p w14:paraId="0A946500" w14:textId="76C1E9EC" w:rsidR="00EF4E47" w:rsidRPr="00EF4E47" w:rsidRDefault="00EF4E47" w:rsidP="00EF4E47">
      <w:pPr>
        <w:tabs>
          <w:tab w:val="left" w:pos="720"/>
        </w:tabs>
        <w:rPr>
          <w:rFonts w:eastAsiaTheme="majorEastAsia"/>
        </w:rPr>
      </w:pPr>
      <w:r w:rsidRPr="00EF4E47">
        <w:rPr>
          <w:rFonts w:eastAsiaTheme="majorEastAsia"/>
        </w:rPr>
        <w:t>1.1</w:t>
      </w:r>
      <w:r w:rsidRPr="00EF4E47">
        <w:rPr>
          <w:rFonts w:eastAsiaTheme="majorEastAsia"/>
        </w:rPr>
        <w:tab/>
        <w:t>The following is a list of eligible facilities:</w:t>
      </w:r>
    </w:p>
    <w:p w14:paraId="79F35FE7" w14:textId="77777777" w:rsidR="00EF4E47" w:rsidRPr="00EF4E47" w:rsidRDefault="00EF4E47" w:rsidP="00EF4E47">
      <w:pPr>
        <w:ind w:left="720"/>
        <w:rPr>
          <w:rFonts w:eastAsiaTheme="majorEastAsia"/>
        </w:rPr>
      </w:pPr>
      <w:r w:rsidRPr="00EF4E47">
        <w:rPr>
          <w:rFonts w:eastAsiaTheme="majorEastAsia"/>
        </w:rPr>
        <w:t>A.</w:t>
      </w:r>
      <w:r w:rsidRPr="00EF4E47">
        <w:rPr>
          <w:rFonts w:eastAsiaTheme="majorEastAsia"/>
        </w:rPr>
        <w:tab/>
        <w:t>All Municipal Arenas including related Community Halls</w:t>
      </w:r>
    </w:p>
    <w:p w14:paraId="08B315E2" w14:textId="77777777" w:rsidR="00EF4E47" w:rsidRPr="00EF4E47" w:rsidRDefault="00EF4E47" w:rsidP="00EF4E47">
      <w:pPr>
        <w:ind w:left="720"/>
        <w:rPr>
          <w:rFonts w:eastAsiaTheme="majorEastAsia"/>
        </w:rPr>
      </w:pPr>
      <w:r w:rsidRPr="00EF4E47">
        <w:rPr>
          <w:rFonts w:eastAsiaTheme="majorEastAsia"/>
        </w:rPr>
        <w:t>B.</w:t>
      </w:r>
      <w:r w:rsidRPr="00EF4E47">
        <w:rPr>
          <w:rFonts w:eastAsiaTheme="majorEastAsia"/>
        </w:rPr>
        <w:tab/>
        <w:t>All Municipal Community Recreation Centres/Halls</w:t>
      </w:r>
    </w:p>
    <w:p w14:paraId="595B4768" w14:textId="77777777" w:rsidR="00EF4E47" w:rsidRPr="00EF4E47" w:rsidRDefault="00EF4E47" w:rsidP="00EF4E47">
      <w:pPr>
        <w:ind w:left="720"/>
        <w:rPr>
          <w:rFonts w:eastAsiaTheme="majorEastAsia"/>
        </w:rPr>
      </w:pPr>
      <w:r w:rsidRPr="00EF4E47">
        <w:rPr>
          <w:rFonts w:eastAsiaTheme="majorEastAsia"/>
        </w:rPr>
        <w:t>C.</w:t>
      </w:r>
      <w:r w:rsidRPr="00EF4E47">
        <w:rPr>
          <w:rFonts w:eastAsiaTheme="majorEastAsia"/>
        </w:rPr>
        <w:tab/>
        <w:t>The Lindsay Branch Library</w:t>
      </w:r>
    </w:p>
    <w:p w14:paraId="1DCF457D" w14:textId="77777777" w:rsidR="00EF4E47" w:rsidRPr="00EF4E47" w:rsidRDefault="00EF4E47" w:rsidP="00EF4E47">
      <w:pPr>
        <w:ind w:left="720"/>
        <w:rPr>
          <w:rFonts w:eastAsiaTheme="majorEastAsia"/>
        </w:rPr>
      </w:pPr>
      <w:r w:rsidRPr="00EF4E47">
        <w:rPr>
          <w:rFonts w:eastAsiaTheme="majorEastAsia"/>
        </w:rPr>
        <w:t>D.</w:t>
      </w:r>
      <w:r w:rsidRPr="00EF4E47">
        <w:rPr>
          <w:rFonts w:eastAsiaTheme="majorEastAsia"/>
        </w:rPr>
        <w:tab/>
        <w:t>City Hall and all Service Centres</w:t>
      </w:r>
    </w:p>
    <w:p w14:paraId="33A984AF" w14:textId="77777777" w:rsidR="00EF4E47" w:rsidRPr="00EF4E47" w:rsidRDefault="00EF4E47" w:rsidP="00EF4E47">
      <w:pPr>
        <w:numPr>
          <w:ilvl w:val="0"/>
          <w:numId w:val="24"/>
        </w:numPr>
        <w:rPr>
          <w:rFonts w:eastAsiaTheme="majorEastAsia"/>
        </w:rPr>
      </w:pPr>
      <w:r w:rsidRPr="00EF4E47">
        <w:rPr>
          <w:rFonts w:eastAsiaTheme="majorEastAsia"/>
        </w:rPr>
        <w:t>The following is a list of additional eligible facilities:</w:t>
      </w:r>
    </w:p>
    <w:p w14:paraId="0953F0DD" w14:textId="77777777" w:rsidR="00EF4E47" w:rsidRPr="00EF4E47" w:rsidRDefault="00EF4E47" w:rsidP="00EF4E47">
      <w:pPr>
        <w:numPr>
          <w:ilvl w:val="0"/>
          <w:numId w:val="25"/>
        </w:numPr>
        <w:ind w:firstLine="720"/>
        <w:rPr>
          <w:rFonts w:eastAsiaTheme="majorEastAsia"/>
        </w:rPr>
      </w:pPr>
      <w:r w:rsidRPr="00EF4E47">
        <w:rPr>
          <w:rFonts w:eastAsiaTheme="majorEastAsia"/>
        </w:rPr>
        <w:t>Bolsover Community Centre Park</w:t>
      </w:r>
    </w:p>
    <w:p w14:paraId="744C061B" w14:textId="77777777" w:rsidR="00EF4E47" w:rsidRPr="00EF4E47" w:rsidRDefault="00EF4E47" w:rsidP="00EF4E47">
      <w:pPr>
        <w:numPr>
          <w:ilvl w:val="0"/>
          <w:numId w:val="25"/>
        </w:numPr>
        <w:ind w:firstLine="720"/>
        <w:rPr>
          <w:rFonts w:eastAsiaTheme="majorEastAsia"/>
        </w:rPr>
      </w:pPr>
      <w:r w:rsidRPr="00EF4E47">
        <w:rPr>
          <w:rFonts w:eastAsiaTheme="majorEastAsia"/>
        </w:rPr>
        <w:lastRenderedPageBreak/>
        <w:t xml:space="preserve">Burnt River Community Centre Park </w:t>
      </w:r>
    </w:p>
    <w:p w14:paraId="23932003" w14:textId="77777777" w:rsidR="00EF4E47" w:rsidRPr="00EF4E47" w:rsidRDefault="00EF4E47" w:rsidP="00EF4E47">
      <w:pPr>
        <w:numPr>
          <w:ilvl w:val="0"/>
          <w:numId w:val="25"/>
        </w:numPr>
        <w:ind w:firstLine="720"/>
        <w:rPr>
          <w:rFonts w:eastAsiaTheme="majorEastAsia"/>
        </w:rPr>
      </w:pPr>
      <w:r w:rsidRPr="00EF4E47">
        <w:rPr>
          <w:rFonts w:eastAsiaTheme="majorEastAsia"/>
        </w:rPr>
        <w:t xml:space="preserve">Cameron Park </w:t>
      </w:r>
    </w:p>
    <w:p w14:paraId="5E3FE3A3" w14:textId="77777777" w:rsidR="00EF4E47" w:rsidRPr="00EF4E47" w:rsidRDefault="00EF4E47" w:rsidP="00EF4E47">
      <w:pPr>
        <w:numPr>
          <w:ilvl w:val="0"/>
          <w:numId w:val="25"/>
        </w:numPr>
        <w:ind w:firstLine="720"/>
        <w:rPr>
          <w:rFonts w:eastAsiaTheme="majorEastAsia"/>
        </w:rPr>
      </w:pPr>
      <w:r w:rsidRPr="00EF4E47">
        <w:rPr>
          <w:rFonts w:eastAsiaTheme="majorEastAsia"/>
        </w:rPr>
        <w:t>Carden Community Centre Park</w:t>
      </w:r>
    </w:p>
    <w:p w14:paraId="540CC82B" w14:textId="77777777" w:rsidR="00EF4E47" w:rsidRPr="00EF4E47" w:rsidRDefault="00EF4E47" w:rsidP="00EF4E47">
      <w:pPr>
        <w:numPr>
          <w:ilvl w:val="0"/>
          <w:numId w:val="25"/>
        </w:numPr>
        <w:ind w:firstLine="720"/>
        <w:rPr>
          <w:rFonts w:eastAsiaTheme="majorEastAsia"/>
        </w:rPr>
      </w:pPr>
      <w:r w:rsidRPr="00EF4E47">
        <w:rPr>
          <w:rFonts w:eastAsiaTheme="majorEastAsia"/>
        </w:rPr>
        <w:t>Coboconk Legion Park</w:t>
      </w:r>
    </w:p>
    <w:p w14:paraId="0967FF4D" w14:textId="77777777" w:rsidR="00EF4E47" w:rsidRPr="00EF4E47" w:rsidRDefault="00EF4E47" w:rsidP="00EF4E47">
      <w:pPr>
        <w:numPr>
          <w:ilvl w:val="0"/>
          <w:numId w:val="25"/>
        </w:numPr>
        <w:ind w:firstLine="720"/>
        <w:rPr>
          <w:rFonts w:eastAsiaTheme="majorEastAsia"/>
        </w:rPr>
      </w:pPr>
      <w:r w:rsidRPr="00EF4E47">
        <w:rPr>
          <w:rFonts w:eastAsiaTheme="majorEastAsia"/>
        </w:rPr>
        <w:t>Dalton Community Centre Park</w:t>
      </w:r>
    </w:p>
    <w:p w14:paraId="75B9F31A" w14:textId="77777777" w:rsidR="00EF4E47" w:rsidRPr="00EF4E47" w:rsidRDefault="00EF4E47" w:rsidP="00EF4E47">
      <w:pPr>
        <w:numPr>
          <w:ilvl w:val="0"/>
          <w:numId w:val="25"/>
        </w:numPr>
        <w:ind w:firstLine="720"/>
        <w:rPr>
          <w:rFonts w:eastAsiaTheme="majorEastAsia"/>
        </w:rPr>
      </w:pPr>
      <w:r w:rsidRPr="00EF4E47">
        <w:rPr>
          <w:rFonts w:eastAsiaTheme="majorEastAsia"/>
        </w:rPr>
        <w:t>Emily Omemee Community Centre Park</w:t>
      </w:r>
    </w:p>
    <w:p w14:paraId="79B02D3E" w14:textId="77777777" w:rsidR="00EF4E47" w:rsidRPr="00EF4E47" w:rsidRDefault="00EF4E47" w:rsidP="00EF4E47">
      <w:pPr>
        <w:numPr>
          <w:ilvl w:val="0"/>
          <w:numId w:val="25"/>
        </w:numPr>
        <w:ind w:firstLine="720"/>
        <w:rPr>
          <w:rFonts w:eastAsiaTheme="majorEastAsia"/>
        </w:rPr>
      </w:pPr>
      <w:r w:rsidRPr="00EF4E47">
        <w:rPr>
          <w:rFonts w:eastAsiaTheme="majorEastAsia"/>
        </w:rPr>
        <w:t>Fenelon Township Community Centre Park</w:t>
      </w:r>
    </w:p>
    <w:p w14:paraId="76C4AD04" w14:textId="77777777" w:rsidR="00EF4E47" w:rsidRPr="00EF4E47" w:rsidRDefault="00EF4E47" w:rsidP="00EF4E47">
      <w:pPr>
        <w:numPr>
          <w:ilvl w:val="0"/>
          <w:numId w:val="25"/>
        </w:numPr>
        <w:ind w:firstLine="720"/>
        <w:rPr>
          <w:rFonts w:eastAsiaTheme="majorEastAsia"/>
        </w:rPr>
      </w:pPr>
      <w:r w:rsidRPr="00EF4E47">
        <w:rPr>
          <w:rFonts w:eastAsiaTheme="majorEastAsia"/>
        </w:rPr>
        <w:t>Janetville Park</w:t>
      </w:r>
    </w:p>
    <w:p w14:paraId="722E5847" w14:textId="77777777" w:rsidR="00EF4E47" w:rsidRPr="00EF4E47" w:rsidRDefault="00EF4E47" w:rsidP="00EF4E47">
      <w:pPr>
        <w:numPr>
          <w:ilvl w:val="0"/>
          <w:numId w:val="25"/>
        </w:numPr>
        <w:ind w:firstLine="720"/>
        <w:rPr>
          <w:rFonts w:eastAsiaTheme="majorEastAsia"/>
        </w:rPr>
      </w:pPr>
      <w:r w:rsidRPr="00EF4E47">
        <w:rPr>
          <w:rFonts w:eastAsiaTheme="majorEastAsia"/>
        </w:rPr>
        <w:t>Little Britain Community Centre Park</w:t>
      </w:r>
    </w:p>
    <w:p w14:paraId="76FD964C" w14:textId="77777777" w:rsidR="00EF4E47" w:rsidRPr="00EF4E47" w:rsidRDefault="00EF4E47" w:rsidP="00EF4E47">
      <w:pPr>
        <w:numPr>
          <w:ilvl w:val="0"/>
          <w:numId w:val="25"/>
        </w:numPr>
        <w:ind w:firstLine="720"/>
        <w:rPr>
          <w:rFonts w:eastAsiaTheme="majorEastAsia"/>
        </w:rPr>
      </w:pPr>
      <w:r w:rsidRPr="00EF4E47">
        <w:rPr>
          <w:rFonts w:eastAsiaTheme="majorEastAsia"/>
        </w:rPr>
        <w:t>Logie St. Park</w:t>
      </w:r>
    </w:p>
    <w:p w14:paraId="797BE136" w14:textId="77777777" w:rsidR="00EF4E47" w:rsidRPr="00EF4E47" w:rsidRDefault="00EF4E47" w:rsidP="00EF4E47">
      <w:pPr>
        <w:numPr>
          <w:ilvl w:val="0"/>
          <w:numId w:val="25"/>
        </w:numPr>
        <w:ind w:firstLine="720"/>
        <w:rPr>
          <w:rFonts w:eastAsiaTheme="majorEastAsia"/>
        </w:rPr>
      </w:pPr>
      <w:r w:rsidRPr="00EF4E47">
        <w:rPr>
          <w:rFonts w:eastAsiaTheme="majorEastAsia"/>
        </w:rPr>
        <w:t>Memorial Park</w:t>
      </w:r>
    </w:p>
    <w:p w14:paraId="207BBB59" w14:textId="77777777" w:rsidR="00EF4E47" w:rsidRPr="00EF4E47" w:rsidRDefault="00EF4E47" w:rsidP="00EF4E47">
      <w:pPr>
        <w:numPr>
          <w:ilvl w:val="0"/>
          <w:numId w:val="25"/>
        </w:numPr>
        <w:ind w:firstLine="720"/>
        <w:rPr>
          <w:rFonts w:eastAsiaTheme="majorEastAsia"/>
        </w:rPr>
      </w:pPr>
      <w:r w:rsidRPr="00EF4E47">
        <w:rPr>
          <w:rFonts w:eastAsiaTheme="majorEastAsia"/>
        </w:rPr>
        <w:t xml:space="preserve">Oakwood Community Centre Park </w:t>
      </w:r>
    </w:p>
    <w:p w14:paraId="45CEFA02" w14:textId="77777777" w:rsidR="00EF4E47" w:rsidRPr="00EF4E47" w:rsidRDefault="00EF4E47" w:rsidP="00EF4E47">
      <w:pPr>
        <w:numPr>
          <w:ilvl w:val="0"/>
          <w:numId w:val="25"/>
        </w:numPr>
        <w:ind w:firstLine="720"/>
        <w:rPr>
          <w:rFonts w:eastAsiaTheme="majorEastAsia"/>
        </w:rPr>
      </w:pPr>
      <w:r w:rsidRPr="00EF4E47">
        <w:rPr>
          <w:rFonts w:eastAsiaTheme="majorEastAsia"/>
        </w:rPr>
        <w:t xml:space="preserve">Old Mill Park </w:t>
      </w:r>
    </w:p>
    <w:p w14:paraId="3059ECCE" w14:textId="77777777" w:rsidR="00EF4E47" w:rsidRPr="00EF4E47" w:rsidRDefault="00EF4E47" w:rsidP="00EF4E47">
      <w:pPr>
        <w:numPr>
          <w:ilvl w:val="0"/>
          <w:numId w:val="25"/>
        </w:numPr>
        <w:ind w:firstLine="720"/>
        <w:rPr>
          <w:rFonts w:eastAsiaTheme="majorEastAsia"/>
        </w:rPr>
      </w:pPr>
      <w:r w:rsidRPr="00EF4E47">
        <w:rPr>
          <w:rFonts w:eastAsiaTheme="majorEastAsia"/>
        </w:rPr>
        <w:t xml:space="preserve">Ops Community Centre Park </w:t>
      </w:r>
    </w:p>
    <w:p w14:paraId="04DE58A8" w14:textId="77777777" w:rsidR="00EF4E47" w:rsidRPr="00EF4E47" w:rsidRDefault="00EF4E47" w:rsidP="00EF4E47">
      <w:pPr>
        <w:numPr>
          <w:ilvl w:val="0"/>
          <w:numId w:val="25"/>
        </w:numPr>
        <w:ind w:firstLine="720"/>
        <w:rPr>
          <w:rFonts w:eastAsiaTheme="majorEastAsia"/>
        </w:rPr>
      </w:pPr>
      <w:r w:rsidRPr="00EF4E47">
        <w:rPr>
          <w:rFonts w:eastAsiaTheme="majorEastAsia"/>
        </w:rPr>
        <w:t>Palestine Community Centre Park</w:t>
      </w:r>
    </w:p>
    <w:p w14:paraId="60FBD2E3" w14:textId="77777777" w:rsidR="00EF4E47" w:rsidRPr="00EF4E47" w:rsidRDefault="00EF4E47" w:rsidP="00EF4E47">
      <w:pPr>
        <w:numPr>
          <w:ilvl w:val="0"/>
          <w:numId w:val="25"/>
        </w:numPr>
        <w:ind w:firstLine="720"/>
        <w:rPr>
          <w:rFonts w:eastAsiaTheme="majorEastAsia"/>
        </w:rPr>
      </w:pPr>
      <w:r w:rsidRPr="00EF4E47">
        <w:rPr>
          <w:rFonts w:eastAsiaTheme="majorEastAsia"/>
        </w:rPr>
        <w:t>Russ Baptiste Park</w:t>
      </w:r>
    </w:p>
    <w:p w14:paraId="37D62E99" w14:textId="77777777" w:rsidR="00EF4E47" w:rsidRPr="00EF4E47" w:rsidRDefault="00EF4E47" w:rsidP="00EF4E47">
      <w:pPr>
        <w:numPr>
          <w:ilvl w:val="0"/>
          <w:numId w:val="25"/>
        </w:numPr>
        <w:ind w:firstLine="720"/>
        <w:rPr>
          <w:rFonts w:eastAsiaTheme="majorEastAsia"/>
        </w:rPr>
      </w:pPr>
      <w:r w:rsidRPr="00EF4E47">
        <w:rPr>
          <w:rFonts w:eastAsiaTheme="majorEastAsia"/>
        </w:rPr>
        <w:t>Tommy Anderson Park</w:t>
      </w:r>
    </w:p>
    <w:p w14:paraId="2EC67F25" w14:textId="77777777" w:rsidR="00EF4E47" w:rsidRPr="00EF4E47" w:rsidRDefault="00EF4E47" w:rsidP="00EF4E47">
      <w:pPr>
        <w:numPr>
          <w:ilvl w:val="0"/>
          <w:numId w:val="25"/>
        </w:numPr>
        <w:ind w:firstLine="720"/>
        <w:rPr>
          <w:rFonts w:eastAsiaTheme="majorEastAsia"/>
        </w:rPr>
      </w:pPr>
      <w:r w:rsidRPr="00EF4E47">
        <w:rPr>
          <w:rFonts w:eastAsiaTheme="majorEastAsia"/>
        </w:rPr>
        <w:t>Victoria Park</w:t>
      </w:r>
    </w:p>
    <w:p w14:paraId="100886EF" w14:textId="77777777" w:rsidR="00EF4E47" w:rsidRPr="00EF4E47" w:rsidRDefault="00EF4E47" w:rsidP="00EF4E47">
      <w:pPr>
        <w:numPr>
          <w:ilvl w:val="0"/>
          <w:numId w:val="25"/>
        </w:numPr>
        <w:ind w:firstLine="720"/>
        <w:rPr>
          <w:rFonts w:eastAsiaTheme="majorEastAsia"/>
        </w:rPr>
      </w:pPr>
      <w:r w:rsidRPr="00EF4E47">
        <w:rPr>
          <w:rFonts w:eastAsiaTheme="majorEastAsia"/>
        </w:rPr>
        <w:t>Ward Park</w:t>
      </w:r>
    </w:p>
    <w:p w14:paraId="322D4628" w14:textId="77777777" w:rsidR="00EF4E47" w:rsidRPr="00EF4E47" w:rsidRDefault="00EF4E47" w:rsidP="00EF4E47">
      <w:pPr>
        <w:numPr>
          <w:ilvl w:val="0"/>
          <w:numId w:val="25"/>
        </w:numPr>
        <w:ind w:firstLine="720"/>
        <w:rPr>
          <w:rFonts w:eastAsiaTheme="majorEastAsia"/>
        </w:rPr>
      </w:pPr>
      <w:r w:rsidRPr="00EF4E47">
        <w:rPr>
          <w:rFonts w:eastAsiaTheme="majorEastAsia"/>
        </w:rPr>
        <w:t>Wilson Fields (East/West)</w:t>
      </w:r>
    </w:p>
    <w:p w14:paraId="0DE94360" w14:textId="77777777" w:rsidR="00EF4E47" w:rsidRPr="00EF4E47" w:rsidRDefault="00EF4E47" w:rsidP="00EF4E47">
      <w:pPr>
        <w:numPr>
          <w:ilvl w:val="0"/>
          <w:numId w:val="25"/>
        </w:numPr>
        <w:ind w:firstLine="720"/>
        <w:rPr>
          <w:rFonts w:eastAsiaTheme="majorEastAsia"/>
        </w:rPr>
      </w:pPr>
      <w:r w:rsidRPr="00EF4E47">
        <w:rPr>
          <w:rFonts w:eastAsiaTheme="majorEastAsia"/>
        </w:rPr>
        <w:t>Woodville Baseball Park</w:t>
      </w:r>
    </w:p>
    <w:p w14:paraId="48CA815B" w14:textId="77777777" w:rsidR="00EF4E47" w:rsidRPr="00EF4E47" w:rsidRDefault="00EF4E47" w:rsidP="00EF4E47">
      <w:pPr>
        <w:ind w:left="720" w:hanging="720"/>
        <w:rPr>
          <w:rFonts w:eastAsiaTheme="majorEastAsia"/>
        </w:rPr>
      </w:pPr>
      <w:r w:rsidRPr="00EF4E47">
        <w:rPr>
          <w:rFonts w:eastAsiaTheme="majorEastAsia"/>
        </w:rPr>
        <w:t>1.02</w:t>
      </w:r>
      <w:r w:rsidRPr="00EF4E47">
        <w:rPr>
          <w:rFonts w:eastAsiaTheme="majorEastAsia"/>
        </w:rPr>
        <w:tab/>
        <w:t xml:space="preserve">A SOP authorizes individuals to serve beverages containing alcohol during an occasion that is judged unique or does not occur on a regular basis.  Recognizing that it is possible for any number of individual SOP’ s to be granted </w:t>
      </w:r>
      <w:r w:rsidRPr="00EF4E47">
        <w:rPr>
          <w:rFonts w:eastAsiaTheme="majorEastAsia"/>
        </w:rPr>
        <w:lastRenderedPageBreak/>
        <w:t>to different permit holders for the same facility, the City reserves the right to refuse an applicant permission to run a licensed event on its property.</w:t>
      </w:r>
    </w:p>
    <w:p w14:paraId="1BD164D7" w14:textId="77777777" w:rsidR="00EF4E47" w:rsidRPr="00EF4E47" w:rsidRDefault="00EF4E47" w:rsidP="00EF4E47">
      <w:pPr>
        <w:tabs>
          <w:tab w:val="left" w:pos="720"/>
        </w:tabs>
        <w:ind w:left="720" w:hanging="720"/>
        <w:rPr>
          <w:rFonts w:eastAsiaTheme="majorEastAsia"/>
        </w:rPr>
      </w:pPr>
      <w:r w:rsidRPr="00EF4E47">
        <w:rPr>
          <w:rFonts w:eastAsiaTheme="majorEastAsia"/>
        </w:rPr>
        <w:t>1.03</w:t>
      </w:r>
      <w:r w:rsidRPr="00EF4E47">
        <w:rPr>
          <w:rFonts w:eastAsiaTheme="majorEastAsia"/>
        </w:rPr>
        <w:tab/>
        <w:t>Notwithstanding Article 1.01, Council may authorize an event on city-owned properties not outlined within this article, but only through permission of Council.</w:t>
      </w:r>
    </w:p>
    <w:p w14:paraId="4B164B58" w14:textId="77777777" w:rsidR="00EF4E47" w:rsidRPr="00EF4E47" w:rsidRDefault="00EF4E47" w:rsidP="00EF4E47">
      <w:pPr>
        <w:ind w:left="720" w:hanging="720"/>
        <w:rPr>
          <w:rFonts w:eastAsiaTheme="majorEastAsia"/>
        </w:rPr>
      </w:pPr>
      <w:r w:rsidRPr="00EF4E47">
        <w:rPr>
          <w:rFonts w:eastAsiaTheme="majorEastAsia"/>
        </w:rPr>
        <w:t>1.04</w:t>
      </w:r>
      <w:r w:rsidRPr="00EF4E47">
        <w:rPr>
          <w:rFonts w:eastAsiaTheme="majorEastAsia"/>
        </w:rPr>
        <w:tab/>
        <w:t>Trailer Parks located on City property, specifically Centennial Park, shall not be permitted to apply for a SOP.  The trailer park sites at these locations shall be deemed to be residential in nature and permit holders of such sites shall be entitled to have alcohol on their site only.</w:t>
      </w:r>
    </w:p>
    <w:p w14:paraId="3155547F" w14:textId="77777777" w:rsidR="00EF4E47" w:rsidRPr="00EF4E47" w:rsidRDefault="00EF4E47" w:rsidP="00EF4E47">
      <w:pPr>
        <w:rPr>
          <w:rFonts w:eastAsiaTheme="majorEastAsia"/>
        </w:rPr>
      </w:pPr>
      <w:r w:rsidRPr="00EF4E47">
        <w:rPr>
          <w:rFonts w:eastAsiaTheme="majorEastAsia"/>
        </w:rPr>
        <w:t>1.05</w:t>
      </w:r>
      <w:r w:rsidRPr="00EF4E47">
        <w:rPr>
          <w:rFonts w:eastAsiaTheme="majorEastAsia"/>
        </w:rPr>
        <w:tab/>
        <w:t>Consumption of Alcohol is prohibited in the following areas:</w:t>
      </w:r>
    </w:p>
    <w:p w14:paraId="31976AB3" w14:textId="77777777" w:rsidR="00EF4E47" w:rsidRPr="00EF4E47" w:rsidRDefault="00EF4E47" w:rsidP="00EF4E47">
      <w:pPr>
        <w:numPr>
          <w:ilvl w:val="0"/>
          <w:numId w:val="26"/>
        </w:numPr>
        <w:ind w:firstLine="0"/>
        <w:rPr>
          <w:rFonts w:eastAsiaTheme="majorEastAsia"/>
        </w:rPr>
      </w:pPr>
      <w:r w:rsidRPr="00EF4E47">
        <w:rPr>
          <w:rFonts w:eastAsiaTheme="majorEastAsia"/>
        </w:rPr>
        <w:t>All arena dressing rooms.</w:t>
      </w:r>
    </w:p>
    <w:p w14:paraId="18E51159" w14:textId="77777777" w:rsidR="00EF4E47" w:rsidRPr="00EF4E47" w:rsidRDefault="00EF4E47" w:rsidP="00EF4E47">
      <w:pPr>
        <w:numPr>
          <w:ilvl w:val="0"/>
          <w:numId w:val="26"/>
        </w:numPr>
        <w:ind w:firstLine="0"/>
        <w:rPr>
          <w:rFonts w:eastAsiaTheme="majorEastAsia"/>
        </w:rPr>
      </w:pPr>
      <w:r w:rsidRPr="00EF4E47">
        <w:rPr>
          <w:rFonts w:eastAsiaTheme="majorEastAsia"/>
        </w:rPr>
        <w:t>All arena bleachers.</w:t>
      </w:r>
    </w:p>
    <w:p w14:paraId="26D73F47" w14:textId="77777777" w:rsidR="00EF4E47" w:rsidRPr="00EF4E47" w:rsidRDefault="00EF4E47" w:rsidP="00EF4E47">
      <w:pPr>
        <w:numPr>
          <w:ilvl w:val="0"/>
          <w:numId w:val="26"/>
        </w:numPr>
        <w:ind w:left="1440" w:hanging="720"/>
        <w:rPr>
          <w:rFonts w:eastAsiaTheme="majorEastAsia"/>
        </w:rPr>
      </w:pPr>
      <w:r w:rsidRPr="00EF4E47">
        <w:rPr>
          <w:rFonts w:eastAsiaTheme="majorEastAsia"/>
        </w:rPr>
        <w:t>All arena ice surfaces except when floor covering is in place, or when ice has been removed.</w:t>
      </w:r>
    </w:p>
    <w:p w14:paraId="2AA34642" w14:textId="77777777" w:rsidR="00EF4E47" w:rsidRPr="00EF4E47" w:rsidRDefault="00EF4E47" w:rsidP="00EF4E47">
      <w:pPr>
        <w:numPr>
          <w:ilvl w:val="0"/>
          <w:numId w:val="26"/>
        </w:numPr>
        <w:ind w:firstLine="0"/>
        <w:rPr>
          <w:rFonts w:eastAsiaTheme="majorEastAsia"/>
        </w:rPr>
      </w:pPr>
      <w:r w:rsidRPr="00EF4E47">
        <w:rPr>
          <w:rFonts w:eastAsiaTheme="majorEastAsia"/>
        </w:rPr>
        <w:t>All municipally owned parking lots, trails and walkways</w:t>
      </w:r>
    </w:p>
    <w:p w14:paraId="54CB260C" w14:textId="77777777" w:rsidR="00EF4E47" w:rsidRPr="00EF4E47" w:rsidRDefault="00EF4E47" w:rsidP="00EF4E47">
      <w:pPr>
        <w:numPr>
          <w:ilvl w:val="0"/>
          <w:numId w:val="26"/>
        </w:numPr>
        <w:ind w:left="1440" w:hanging="720"/>
        <w:rPr>
          <w:rFonts w:eastAsiaTheme="majorEastAsia"/>
        </w:rPr>
      </w:pPr>
      <w:r w:rsidRPr="00EF4E47">
        <w:rPr>
          <w:rFonts w:eastAsiaTheme="majorEastAsia"/>
        </w:rPr>
        <w:t>All municipally owned sports playing fields including children’s playground areas.</w:t>
      </w:r>
    </w:p>
    <w:p w14:paraId="107F6C8F" w14:textId="77777777" w:rsidR="00EF4E47" w:rsidRPr="00EF4E47" w:rsidRDefault="00EF4E47" w:rsidP="00EF4E47">
      <w:pPr>
        <w:ind w:left="720"/>
        <w:rPr>
          <w:rFonts w:eastAsiaTheme="majorEastAsia"/>
        </w:rPr>
      </w:pPr>
      <w:r w:rsidRPr="00EF4E47">
        <w:rPr>
          <w:rFonts w:eastAsiaTheme="majorEastAsia"/>
        </w:rPr>
        <w:t>Persons found consuming or allowing the consumption of alcohol in any of these prohibited areas will be reported to the Police and these persons/groups may be prohibited from further use of City facilities/property.</w:t>
      </w:r>
    </w:p>
    <w:p w14:paraId="03746765" w14:textId="672C7AF4" w:rsidR="00EF4E47" w:rsidRPr="00EF4E47" w:rsidRDefault="00BB771F" w:rsidP="00BB771F">
      <w:pPr>
        <w:pStyle w:val="Heading2"/>
      </w:pPr>
      <w:r>
        <w:t>2.</w:t>
      </w:r>
      <w:r>
        <w:tab/>
      </w:r>
      <w:r w:rsidR="00EF4E47" w:rsidRPr="00EF4E47">
        <w:t>Events and Persons Not Eligible</w:t>
      </w:r>
    </w:p>
    <w:p w14:paraId="23AF3F12" w14:textId="77777777" w:rsidR="00EF4E47" w:rsidRPr="00EF4E47" w:rsidRDefault="00EF4E47" w:rsidP="00EF4E47">
      <w:pPr>
        <w:ind w:left="720" w:hanging="720"/>
        <w:rPr>
          <w:rFonts w:eastAsiaTheme="majorEastAsia"/>
          <w:lang w:val="en-GB"/>
        </w:rPr>
      </w:pPr>
      <w:r w:rsidRPr="00EF4E47">
        <w:rPr>
          <w:rFonts w:eastAsiaTheme="majorEastAsia"/>
        </w:rPr>
        <w:t>2.01</w:t>
      </w:r>
      <w:r w:rsidRPr="00EF4E47">
        <w:rPr>
          <w:rFonts w:eastAsiaTheme="majorEastAsia"/>
        </w:rPr>
        <w:tab/>
        <w:t>Youth events and minor sports events including youth banquets and community picnics are not eligible to host events where alcohol is served.</w:t>
      </w:r>
    </w:p>
    <w:p w14:paraId="151363EB" w14:textId="77777777" w:rsidR="00EF4E47" w:rsidRPr="00EF4E47" w:rsidRDefault="00EF4E47" w:rsidP="00EF4E47">
      <w:pPr>
        <w:ind w:left="720" w:hanging="720"/>
        <w:rPr>
          <w:rFonts w:eastAsiaTheme="majorEastAsia"/>
          <w:lang w:val="en-GB"/>
        </w:rPr>
      </w:pPr>
      <w:r w:rsidRPr="00EF4E47">
        <w:rPr>
          <w:rFonts w:eastAsiaTheme="majorEastAsia"/>
          <w:lang w:val="en-GB"/>
        </w:rPr>
        <w:t>2.02</w:t>
      </w:r>
      <w:r w:rsidRPr="00EF4E47">
        <w:rPr>
          <w:rFonts w:eastAsiaTheme="majorEastAsia"/>
          <w:lang w:val="en-GB"/>
        </w:rPr>
        <w:tab/>
        <w:t>Where a SOP has been issued, underage youth (persons not yet nineteen years of age) may enter licensed areas as long as they are easily identifiable (i.e. wristband ) and accompanied at all times by an adult.   Measures shall be taken to ensure that underage attendees are not provided with alcohol, in accordance with AGCO guidelines.</w:t>
      </w:r>
    </w:p>
    <w:p w14:paraId="23ECE1B3" w14:textId="032AA76B" w:rsidR="00EF4E47" w:rsidRPr="00EF4E47" w:rsidRDefault="00EF4E47" w:rsidP="00BB771F">
      <w:pPr>
        <w:pStyle w:val="Heading2"/>
        <w:rPr>
          <w:lang w:val="en-GB"/>
        </w:rPr>
      </w:pPr>
      <w:r w:rsidRPr="00EF4E47">
        <w:rPr>
          <w:lang w:val="en-GB"/>
        </w:rPr>
        <w:t>3.</w:t>
      </w:r>
      <w:r w:rsidRPr="00EF4E47">
        <w:rPr>
          <w:lang w:val="en-GB"/>
        </w:rPr>
        <w:tab/>
        <w:t>Agreement and Responsibilities</w:t>
      </w:r>
    </w:p>
    <w:p w14:paraId="519B53C3" w14:textId="77777777" w:rsidR="00EF4E47" w:rsidRPr="00EF4E47" w:rsidRDefault="00EF4E47" w:rsidP="00EF4E47">
      <w:pPr>
        <w:ind w:left="720" w:hanging="720"/>
        <w:rPr>
          <w:rFonts w:eastAsiaTheme="majorEastAsia"/>
        </w:rPr>
      </w:pPr>
      <w:r w:rsidRPr="00EF4E47">
        <w:rPr>
          <w:rFonts w:eastAsiaTheme="majorEastAsia"/>
        </w:rPr>
        <w:t>3.01</w:t>
      </w:r>
      <w:r w:rsidRPr="00EF4E47">
        <w:rPr>
          <w:rFonts w:eastAsiaTheme="majorEastAsia"/>
        </w:rPr>
        <w:tab/>
        <w:t xml:space="preserve">Every person (the applicant) wishing to serve or to provide alcohol at any designated City of Kawartha Lakes property or facility must enter into a Permit Holder Agreement in the form appended as Schedule “A” and forming part of this </w:t>
      </w:r>
      <w:r w:rsidRPr="00EF4E47">
        <w:rPr>
          <w:rFonts w:eastAsiaTheme="majorEastAsia"/>
        </w:rPr>
        <w:lastRenderedPageBreak/>
        <w:t>policy.  The Permit Holder Agreement outlines the conditions under which alcohol may be served.  The applicant is responsible for obtaining a SOP issued by the AGCO and shall provide a copy of that permit to facility booking staff not less than 10 business days in advance of the event.</w:t>
      </w:r>
    </w:p>
    <w:p w14:paraId="4EE94179" w14:textId="77777777" w:rsidR="00EF4E47" w:rsidRPr="00EF4E47" w:rsidRDefault="00EF4E47" w:rsidP="00EF4E47">
      <w:pPr>
        <w:ind w:left="720" w:hanging="720"/>
        <w:rPr>
          <w:rFonts w:eastAsiaTheme="majorEastAsia"/>
        </w:rPr>
      </w:pPr>
      <w:r w:rsidRPr="00EF4E47">
        <w:rPr>
          <w:rFonts w:eastAsiaTheme="majorEastAsia"/>
        </w:rPr>
        <w:t>3.02</w:t>
      </w:r>
      <w:r w:rsidRPr="00EF4E47">
        <w:rPr>
          <w:rFonts w:eastAsiaTheme="majorEastAsia"/>
        </w:rPr>
        <w:tab/>
        <w:t>The applicant shall be in attendance during the entire event and shall be responsible for making decisions regarding the operation of the event during the license period.</w:t>
      </w:r>
    </w:p>
    <w:p w14:paraId="65818C6E" w14:textId="77777777" w:rsidR="00EF4E47" w:rsidRPr="00EF4E47" w:rsidRDefault="00EF4E47" w:rsidP="00EF4E47">
      <w:pPr>
        <w:ind w:left="720" w:hanging="720"/>
        <w:rPr>
          <w:rFonts w:eastAsiaTheme="majorEastAsia"/>
          <w:lang w:val="en-GB"/>
        </w:rPr>
      </w:pPr>
      <w:r w:rsidRPr="00EF4E47">
        <w:rPr>
          <w:rFonts w:eastAsiaTheme="majorEastAsia"/>
          <w:lang w:val="en-GB"/>
        </w:rPr>
        <w:t>3.03</w:t>
      </w:r>
      <w:r w:rsidRPr="00EF4E47">
        <w:rPr>
          <w:rFonts w:eastAsiaTheme="majorEastAsia"/>
          <w:lang w:val="en-GB"/>
        </w:rPr>
        <w:tab/>
        <w:t>The applicant may designate in writing, an eligible person or persons to be "his/her" agent or representative for the entire event or any portion thereof.  The information regarding the designation, including time frames must be provided to the facility booking staff  and shall be attached to the SOP.</w:t>
      </w:r>
    </w:p>
    <w:p w14:paraId="35F5511F" w14:textId="77777777" w:rsidR="00EF4E47" w:rsidRPr="00EF4E47" w:rsidRDefault="00EF4E47" w:rsidP="00EF4E47">
      <w:pPr>
        <w:ind w:left="720" w:hanging="720"/>
        <w:rPr>
          <w:rFonts w:eastAsiaTheme="majorEastAsia"/>
          <w:lang w:val="en-GB"/>
        </w:rPr>
      </w:pPr>
      <w:r w:rsidRPr="00EF4E47">
        <w:rPr>
          <w:rFonts w:eastAsiaTheme="majorEastAsia"/>
          <w:lang w:val="en-GB"/>
        </w:rPr>
        <w:t>3.04</w:t>
      </w:r>
      <w:r w:rsidRPr="00EF4E47">
        <w:rPr>
          <w:rFonts w:eastAsiaTheme="majorEastAsia"/>
          <w:lang w:val="en-GB"/>
        </w:rPr>
        <w:tab/>
        <w:t xml:space="preserve">The applicant and any person to whom the responsibility has been designated must refrain from the consumption of alcohol prior to and during the time that they have been designated as being responsible for the event.  </w:t>
      </w:r>
    </w:p>
    <w:p w14:paraId="1F35E117" w14:textId="1195B124" w:rsidR="00EF4E47" w:rsidRPr="00EF4E47" w:rsidRDefault="00EF4E47" w:rsidP="00BB771F">
      <w:pPr>
        <w:pStyle w:val="Heading2"/>
        <w:rPr>
          <w:lang w:val="en-GB"/>
        </w:rPr>
      </w:pPr>
      <w:r w:rsidRPr="00EF4E47">
        <w:rPr>
          <w:lang w:val="en-GB"/>
        </w:rPr>
        <w:t>4.</w:t>
      </w:r>
      <w:r w:rsidRPr="00EF4E47">
        <w:rPr>
          <w:lang w:val="en-GB"/>
        </w:rPr>
        <w:tab/>
        <w:t>Enforcement</w:t>
      </w:r>
    </w:p>
    <w:p w14:paraId="7108E620" w14:textId="77777777" w:rsidR="00EF4E47" w:rsidRPr="00EF4E47" w:rsidRDefault="00EF4E47" w:rsidP="00BB771F">
      <w:pPr>
        <w:ind w:left="720" w:hanging="720"/>
        <w:rPr>
          <w:rFonts w:eastAsiaTheme="majorEastAsia"/>
        </w:rPr>
      </w:pPr>
      <w:r w:rsidRPr="00EF4E47">
        <w:rPr>
          <w:rFonts w:eastAsiaTheme="majorEastAsia"/>
        </w:rPr>
        <w:t>4.01</w:t>
      </w:r>
      <w:r w:rsidRPr="00EF4E47">
        <w:rPr>
          <w:rFonts w:eastAsiaTheme="majorEastAsia"/>
        </w:rPr>
        <w:tab/>
        <w:t>Where an applicant fails to comply with the terms of this policy, the procedures for regulation of SOP events or any of the terms or conditions imposed by the Permit Holder Agreement, consequences could include but shall not be limited to:</w:t>
      </w:r>
    </w:p>
    <w:p w14:paraId="7D71515B" w14:textId="77777777" w:rsidR="00EF4E47" w:rsidRPr="00EF4E47" w:rsidRDefault="00EF4E47" w:rsidP="00BB771F">
      <w:pPr>
        <w:numPr>
          <w:ilvl w:val="0"/>
          <w:numId w:val="27"/>
        </w:numPr>
        <w:ind w:left="1440" w:hanging="720"/>
        <w:rPr>
          <w:rFonts w:eastAsiaTheme="majorEastAsia"/>
        </w:rPr>
      </w:pPr>
      <w:r w:rsidRPr="00EF4E47">
        <w:rPr>
          <w:rFonts w:eastAsiaTheme="majorEastAsia"/>
        </w:rPr>
        <w:t>issuance of a warning;</w:t>
      </w:r>
    </w:p>
    <w:p w14:paraId="7F4B1A73" w14:textId="77777777" w:rsidR="00EF4E47" w:rsidRPr="00EF4E47" w:rsidRDefault="00EF4E47" w:rsidP="00BB771F">
      <w:pPr>
        <w:numPr>
          <w:ilvl w:val="0"/>
          <w:numId w:val="27"/>
        </w:numPr>
        <w:ind w:left="1440" w:hanging="720"/>
        <w:rPr>
          <w:rFonts w:eastAsiaTheme="majorEastAsia"/>
        </w:rPr>
      </w:pPr>
      <w:r w:rsidRPr="00EF4E47">
        <w:rPr>
          <w:rFonts w:eastAsiaTheme="majorEastAsia"/>
        </w:rPr>
        <w:t>closure of the event and the suspension of facility/area rental privileges;</w:t>
      </w:r>
    </w:p>
    <w:p w14:paraId="7F429A7F" w14:textId="77777777" w:rsidR="00EF4E47" w:rsidRPr="00EF4E47" w:rsidRDefault="00EF4E47" w:rsidP="00BB771F">
      <w:pPr>
        <w:numPr>
          <w:ilvl w:val="0"/>
          <w:numId w:val="27"/>
        </w:numPr>
        <w:ind w:left="1440" w:hanging="720"/>
        <w:rPr>
          <w:rFonts w:eastAsiaTheme="majorEastAsia"/>
        </w:rPr>
      </w:pPr>
      <w:r w:rsidRPr="00EF4E47">
        <w:rPr>
          <w:rFonts w:eastAsiaTheme="majorEastAsia"/>
        </w:rPr>
        <w:t xml:space="preserve">suspension of rental privileges for a minimum of 15 months for the applicant, the related organization, if applicable, their designate and/or the event organizer; </w:t>
      </w:r>
    </w:p>
    <w:p w14:paraId="392DE98E" w14:textId="77777777" w:rsidR="00EF4E47" w:rsidRPr="00EF4E47" w:rsidRDefault="00EF4E47" w:rsidP="00BB771F">
      <w:pPr>
        <w:numPr>
          <w:ilvl w:val="0"/>
          <w:numId w:val="27"/>
        </w:numPr>
        <w:ind w:left="1440" w:hanging="720"/>
        <w:rPr>
          <w:rFonts w:eastAsiaTheme="majorEastAsia"/>
        </w:rPr>
      </w:pPr>
      <w:r w:rsidRPr="00EF4E47">
        <w:rPr>
          <w:rFonts w:eastAsiaTheme="majorEastAsia"/>
        </w:rPr>
        <w:t>forfeiture of deposit;</w:t>
      </w:r>
    </w:p>
    <w:p w14:paraId="3165CA53" w14:textId="77777777" w:rsidR="00EF4E47" w:rsidRPr="00EF4E47" w:rsidRDefault="00EF4E47" w:rsidP="00BB771F">
      <w:pPr>
        <w:numPr>
          <w:ilvl w:val="0"/>
          <w:numId w:val="27"/>
        </w:numPr>
        <w:ind w:left="1440" w:hanging="720"/>
        <w:rPr>
          <w:rFonts w:eastAsiaTheme="majorEastAsia"/>
        </w:rPr>
      </w:pPr>
      <w:r w:rsidRPr="00EF4E47">
        <w:rPr>
          <w:rFonts w:eastAsiaTheme="majorEastAsia"/>
        </w:rPr>
        <w:t>additional restrictions/requirements relating to future events of a similar nature (i.e. additional paid duty police officers, security, etc.)</w:t>
      </w:r>
    </w:p>
    <w:p w14:paraId="290F8E8C" w14:textId="77777777" w:rsidR="00EF4E47" w:rsidRPr="00EF4E47" w:rsidRDefault="00EF4E47" w:rsidP="00BB771F">
      <w:pPr>
        <w:pStyle w:val="Heading2"/>
      </w:pPr>
      <w:r w:rsidRPr="00EF4E47">
        <w:t>Server Training, Ratios and Identification</w:t>
      </w:r>
    </w:p>
    <w:p w14:paraId="54DC53C5" w14:textId="77777777" w:rsidR="00EF4E47" w:rsidRPr="00EF4E47" w:rsidRDefault="00EF4E47" w:rsidP="00EF4E47">
      <w:pPr>
        <w:ind w:left="720" w:hanging="720"/>
        <w:rPr>
          <w:rFonts w:eastAsiaTheme="majorEastAsia"/>
        </w:rPr>
      </w:pPr>
      <w:r w:rsidRPr="00EF4E47">
        <w:rPr>
          <w:rFonts w:eastAsiaTheme="majorEastAsia"/>
        </w:rPr>
        <w:t>5.01</w:t>
      </w:r>
      <w:r w:rsidRPr="00EF4E47">
        <w:rPr>
          <w:rFonts w:eastAsiaTheme="majorEastAsia"/>
        </w:rPr>
        <w:tab/>
        <w:t>Applicants wishing to rent a municipal facility must demonstrate to the municipality that the prerequisite number of event workers have taken certified training through an AGCO recognized server intervention training program.  All event workers must have proof of certification with them and available at the event.</w:t>
      </w:r>
    </w:p>
    <w:p w14:paraId="23868E46" w14:textId="77777777" w:rsidR="00EF4E47" w:rsidRPr="00EF4E47" w:rsidRDefault="00EF4E47" w:rsidP="00EF4E47">
      <w:pPr>
        <w:ind w:left="720" w:hanging="720"/>
        <w:rPr>
          <w:rFonts w:eastAsiaTheme="majorEastAsia"/>
        </w:rPr>
      </w:pPr>
      <w:r w:rsidRPr="00EF4E47">
        <w:rPr>
          <w:rFonts w:eastAsiaTheme="majorEastAsia"/>
        </w:rPr>
        <w:lastRenderedPageBreak/>
        <w:t>5.02</w:t>
      </w:r>
      <w:r w:rsidRPr="00EF4E47">
        <w:rPr>
          <w:rFonts w:eastAsiaTheme="majorEastAsia"/>
        </w:rPr>
        <w:tab/>
        <w:t>The name and certificate number of licensed event workers shall be documented on the Permit Holder Agreement. This information shall be provided not less than 10 business days in advance of the event.</w:t>
      </w:r>
    </w:p>
    <w:p w14:paraId="7C0CE7DF" w14:textId="77777777" w:rsidR="00EF4E47" w:rsidRPr="00EF4E47" w:rsidRDefault="00EF4E47" w:rsidP="00EF4E47">
      <w:pPr>
        <w:ind w:left="720" w:hanging="720"/>
        <w:rPr>
          <w:rFonts w:eastAsiaTheme="majorEastAsia"/>
        </w:rPr>
      </w:pPr>
      <w:r w:rsidRPr="00EF4E47">
        <w:rPr>
          <w:rFonts w:eastAsiaTheme="majorEastAsia"/>
        </w:rPr>
        <w:t>5.03</w:t>
      </w:r>
      <w:r w:rsidRPr="00EF4E47">
        <w:rPr>
          <w:rFonts w:eastAsiaTheme="majorEastAsia"/>
        </w:rPr>
        <w:tab/>
        <w:t>A list of all security staff and security license numbers shall be documented on the permit holder agreement.</w:t>
      </w:r>
    </w:p>
    <w:p w14:paraId="16284B0D" w14:textId="77777777" w:rsidR="00EF4E47" w:rsidRPr="00EF4E47" w:rsidRDefault="00EF4E47" w:rsidP="00EF4E47">
      <w:pPr>
        <w:tabs>
          <w:tab w:val="left" w:pos="720"/>
        </w:tabs>
        <w:ind w:left="720" w:hanging="720"/>
        <w:rPr>
          <w:rFonts w:eastAsiaTheme="majorEastAsia"/>
        </w:rPr>
      </w:pPr>
      <w:r w:rsidRPr="00EF4E47">
        <w:rPr>
          <w:rFonts w:eastAsiaTheme="majorEastAsia"/>
        </w:rPr>
        <w:t>5.04</w:t>
      </w:r>
      <w:r w:rsidRPr="00EF4E47">
        <w:rPr>
          <w:rFonts w:eastAsiaTheme="majorEastAsia"/>
        </w:rPr>
        <w:tab/>
        <w:t>It is also recommended that trained persons be required to take a refresher course should the program be updated.</w:t>
      </w:r>
    </w:p>
    <w:p w14:paraId="22D40113" w14:textId="77777777" w:rsidR="00EF4E47" w:rsidRPr="00EF4E47" w:rsidRDefault="00EF4E47" w:rsidP="00EF4E47">
      <w:pPr>
        <w:ind w:left="720" w:hanging="720"/>
        <w:rPr>
          <w:rFonts w:eastAsiaTheme="majorEastAsia"/>
        </w:rPr>
      </w:pPr>
      <w:r w:rsidRPr="00EF4E47">
        <w:rPr>
          <w:rFonts w:eastAsiaTheme="majorEastAsia"/>
        </w:rPr>
        <w:t>5.05</w:t>
      </w:r>
      <w:r w:rsidRPr="00EF4E47">
        <w:rPr>
          <w:rFonts w:eastAsiaTheme="majorEastAsia"/>
        </w:rPr>
        <w:tab/>
        <w:t>The minimum number of event workers required for safe alcohol service is defined below.  The City reserves the right to increase the minimum requirements stated below if, in its discretion, the circumstance of the event warrant additional support.  Door Monitors are required at each access point.</w:t>
      </w:r>
    </w:p>
    <w:tbl>
      <w:tblPr>
        <w:tblStyle w:val="TableGrid"/>
        <w:tblW w:w="0" w:type="auto"/>
        <w:tblLook w:val="04A0" w:firstRow="1" w:lastRow="0" w:firstColumn="1" w:lastColumn="0" w:noHBand="0" w:noVBand="1"/>
        <w:tblCaption w:val="Table "/>
        <w:tblDescription w:val="Table reads left to right to identify number of guests, servers, floor supervisors, ticket sellers and licensed security worker requirements."/>
      </w:tblPr>
      <w:tblGrid>
        <w:gridCol w:w="1991"/>
        <w:gridCol w:w="1043"/>
        <w:gridCol w:w="2000"/>
        <w:gridCol w:w="1545"/>
        <w:gridCol w:w="2771"/>
      </w:tblGrid>
      <w:tr w:rsidR="00EF4E47" w:rsidRPr="00EF4E47" w14:paraId="4E6413D5" w14:textId="77777777" w:rsidTr="00AB78BA">
        <w:trPr>
          <w:tblHeader/>
        </w:trPr>
        <w:tc>
          <w:tcPr>
            <w:tcW w:w="0" w:type="auto"/>
          </w:tcPr>
          <w:p w14:paraId="3A39F717" w14:textId="77777777" w:rsidR="00EF4E47" w:rsidRPr="00EF4E47" w:rsidRDefault="00EF4E47" w:rsidP="00EF4E47">
            <w:pPr>
              <w:spacing w:before="120" w:after="120"/>
              <w:rPr>
                <w:rFonts w:eastAsiaTheme="majorEastAsia"/>
              </w:rPr>
            </w:pPr>
            <w:r w:rsidRPr="00EF4E47">
              <w:rPr>
                <w:rFonts w:eastAsiaTheme="majorEastAsia"/>
              </w:rPr>
              <w:t>Number of Guests</w:t>
            </w:r>
          </w:p>
        </w:tc>
        <w:tc>
          <w:tcPr>
            <w:tcW w:w="0" w:type="auto"/>
          </w:tcPr>
          <w:p w14:paraId="5CC9083E" w14:textId="77777777" w:rsidR="00EF4E47" w:rsidRPr="00EF4E47" w:rsidRDefault="00EF4E47" w:rsidP="00EF4E47">
            <w:pPr>
              <w:spacing w:before="120" w:after="120"/>
              <w:rPr>
                <w:rFonts w:eastAsiaTheme="majorEastAsia"/>
              </w:rPr>
            </w:pPr>
            <w:r w:rsidRPr="00EF4E47">
              <w:rPr>
                <w:rFonts w:eastAsiaTheme="majorEastAsia"/>
              </w:rPr>
              <w:t>Servers</w:t>
            </w:r>
          </w:p>
        </w:tc>
        <w:tc>
          <w:tcPr>
            <w:tcW w:w="0" w:type="auto"/>
          </w:tcPr>
          <w:p w14:paraId="274E1907" w14:textId="77777777" w:rsidR="00EF4E47" w:rsidRPr="00EF4E47" w:rsidRDefault="00EF4E47" w:rsidP="00EF4E47">
            <w:pPr>
              <w:spacing w:before="120" w:after="120"/>
              <w:rPr>
                <w:rFonts w:eastAsiaTheme="majorEastAsia"/>
              </w:rPr>
            </w:pPr>
            <w:r w:rsidRPr="00EF4E47">
              <w:rPr>
                <w:rFonts w:eastAsiaTheme="majorEastAsia"/>
              </w:rPr>
              <w:t>Floor Supervisors</w:t>
            </w:r>
          </w:p>
        </w:tc>
        <w:tc>
          <w:tcPr>
            <w:tcW w:w="0" w:type="auto"/>
          </w:tcPr>
          <w:p w14:paraId="7A22E799" w14:textId="77777777" w:rsidR="00EF4E47" w:rsidRPr="00EF4E47" w:rsidRDefault="00EF4E47" w:rsidP="00EF4E47">
            <w:pPr>
              <w:spacing w:before="120" w:after="120"/>
              <w:rPr>
                <w:rFonts w:eastAsiaTheme="majorEastAsia"/>
              </w:rPr>
            </w:pPr>
            <w:r w:rsidRPr="00EF4E47">
              <w:rPr>
                <w:rFonts w:eastAsiaTheme="majorEastAsia"/>
              </w:rPr>
              <w:t>Ticket Sellers</w:t>
            </w:r>
          </w:p>
        </w:tc>
        <w:tc>
          <w:tcPr>
            <w:tcW w:w="0" w:type="auto"/>
          </w:tcPr>
          <w:p w14:paraId="281BD26B" w14:textId="77777777" w:rsidR="00EF4E47" w:rsidRPr="00EF4E47" w:rsidRDefault="00EF4E47" w:rsidP="00EF4E47">
            <w:pPr>
              <w:spacing w:before="120" w:after="120"/>
              <w:rPr>
                <w:rFonts w:eastAsiaTheme="majorEastAsia"/>
              </w:rPr>
            </w:pPr>
            <w:r w:rsidRPr="00EF4E47">
              <w:rPr>
                <w:rFonts w:eastAsiaTheme="majorEastAsia"/>
              </w:rPr>
              <w:t>Licensed Security Workers</w:t>
            </w:r>
          </w:p>
        </w:tc>
      </w:tr>
      <w:tr w:rsidR="00EF4E47" w:rsidRPr="00EF4E47" w14:paraId="5EE062F1" w14:textId="77777777" w:rsidTr="00AB78BA">
        <w:tc>
          <w:tcPr>
            <w:tcW w:w="0" w:type="auto"/>
          </w:tcPr>
          <w:p w14:paraId="7059BEB9" w14:textId="77777777" w:rsidR="00EF4E47" w:rsidRPr="00EF4E47" w:rsidRDefault="00EF4E47" w:rsidP="00EF4E47">
            <w:pPr>
              <w:spacing w:before="120" w:after="120"/>
              <w:rPr>
                <w:rFonts w:eastAsiaTheme="majorEastAsia"/>
              </w:rPr>
            </w:pPr>
            <w:r w:rsidRPr="00EF4E47">
              <w:rPr>
                <w:rFonts w:eastAsiaTheme="majorEastAsia"/>
              </w:rPr>
              <w:t>Up to 100</w:t>
            </w:r>
          </w:p>
        </w:tc>
        <w:tc>
          <w:tcPr>
            <w:tcW w:w="0" w:type="auto"/>
          </w:tcPr>
          <w:p w14:paraId="3DF6B213" w14:textId="77777777" w:rsidR="00EF4E47" w:rsidRPr="00EF4E47" w:rsidRDefault="00EF4E47" w:rsidP="00EF4E47">
            <w:pPr>
              <w:spacing w:before="120" w:after="120"/>
              <w:rPr>
                <w:rFonts w:eastAsiaTheme="majorEastAsia"/>
              </w:rPr>
            </w:pPr>
            <w:r w:rsidRPr="00EF4E47">
              <w:rPr>
                <w:rFonts w:eastAsiaTheme="majorEastAsia"/>
              </w:rPr>
              <w:t>1</w:t>
            </w:r>
          </w:p>
        </w:tc>
        <w:tc>
          <w:tcPr>
            <w:tcW w:w="0" w:type="auto"/>
          </w:tcPr>
          <w:p w14:paraId="3C1A47E9" w14:textId="77777777" w:rsidR="00EF4E47" w:rsidRPr="00EF4E47" w:rsidRDefault="00EF4E47" w:rsidP="00EF4E47">
            <w:pPr>
              <w:spacing w:before="120" w:after="120"/>
              <w:rPr>
                <w:rFonts w:eastAsiaTheme="majorEastAsia"/>
              </w:rPr>
            </w:pPr>
            <w:r w:rsidRPr="00EF4E47">
              <w:rPr>
                <w:rFonts w:eastAsiaTheme="majorEastAsia"/>
              </w:rPr>
              <w:t>1</w:t>
            </w:r>
          </w:p>
        </w:tc>
        <w:tc>
          <w:tcPr>
            <w:tcW w:w="0" w:type="auto"/>
          </w:tcPr>
          <w:p w14:paraId="57459AA6" w14:textId="77777777" w:rsidR="00EF4E47" w:rsidRPr="00EF4E47" w:rsidRDefault="00EF4E47" w:rsidP="00EF4E47">
            <w:pPr>
              <w:spacing w:before="120" w:after="120"/>
              <w:rPr>
                <w:rFonts w:eastAsiaTheme="majorEastAsia"/>
              </w:rPr>
            </w:pPr>
            <w:r w:rsidRPr="00EF4E47">
              <w:rPr>
                <w:rFonts w:eastAsiaTheme="majorEastAsia"/>
              </w:rPr>
              <w:t>0</w:t>
            </w:r>
          </w:p>
        </w:tc>
        <w:tc>
          <w:tcPr>
            <w:tcW w:w="0" w:type="auto"/>
          </w:tcPr>
          <w:p w14:paraId="244AA674" w14:textId="77777777" w:rsidR="00EF4E47" w:rsidRPr="00EF4E47" w:rsidRDefault="00EF4E47" w:rsidP="00EF4E47">
            <w:pPr>
              <w:spacing w:before="120" w:after="120"/>
              <w:rPr>
                <w:rFonts w:eastAsiaTheme="majorEastAsia"/>
              </w:rPr>
            </w:pPr>
            <w:r w:rsidRPr="00EF4E47">
              <w:rPr>
                <w:rFonts w:eastAsiaTheme="majorEastAsia"/>
              </w:rPr>
              <w:t>0</w:t>
            </w:r>
          </w:p>
        </w:tc>
      </w:tr>
      <w:tr w:rsidR="00EF4E47" w:rsidRPr="00EF4E47" w14:paraId="1608614A" w14:textId="77777777" w:rsidTr="00AB78BA">
        <w:tc>
          <w:tcPr>
            <w:tcW w:w="0" w:type="auto"/>
          </w:tcPr>
          <w:p w14:paraId="6140973C" w14:textId="77777777" w:rsidR="00EF4E47" w:rsidRPr="00EF4E47" w:rsidRDefault="00EF4E47" w:rsidP="00EF4E47">
            <w:pPr>
              <w:spacing w:before="120" w:after="120"/>
              <w:rPr>
                <w:rFonts w:eastAsiaTheme="majorEastAsia"/>
              </w:rPr>
            </w:pPr>
            <w:r w:rsidRPr="00EF4E47">
              <w:rPr>
                <w:rFonts w:eastAsiaTheme="majorEastAsia"/>
              </w:rPr>
              <w:t>101-200</w:t>
            </w:r>
          </w:p>
        </w:tc>
        <w:tc>
          <w:tcPr>
            <w:tcW w:w="0" w:type="auto"/>
          </w:tcPr>
          <w:p w14:paraId="05F6B0EB" w14:textId="77777777" w:rsidR="00EF4E47" w:rsidRPr="00EF4E47" w:rsidRDefault="00EF4E47" w:rsidP="00EF4E47">
            <w:pPr>
              <w:spacing w:before="120" w:after="120"/>
              <w:rPr>
                <w:rFonts w:eastAsiaTheme="majorEastAsia"/>
              </w:rPr>
            </w:pPr>
            <w:r w:rsidRPr="00EF4E47">
              <w:rPr>
                <w:rFonts w:eastAsiaTheme="majorEastAsia"/>
              </w:rPr>
              <w:t>2</w:t>
            </w:r>
          </w:p>
        </w:tc>
        <w:tc>
          <w:tcPr>
            <w:tcW w:w="0" w:type="auto"/>
          </w:tcPr>
          <w:p w14:paraId="63EDCBDC" w14:textId="77777777" w:rsidR="00EF4E47" w:rsidRPr="00EF4E47" w:rsidRDefault="00EF4E47" w:rsidP="00EF4E47">
            <w:pPr>
              <w:spacing w:before="120" w:after="120"/>
              <w:rPr>
                <w:rFonts w:eastAsiaTheme="majorEastAsia"/>
              </w:rPr>
            </w:pPr>
            <w:r w:rsidRPr="00EF4E47">
              <w:rPr>
                <w:rFonts w:eastAsiaTheme="majorEastAsia"/>
              </w:rPr>
              <w:t>2</w:t>
            </w:r>
          </w:p>
        </w:tc>
        <w:tc>
          <w:tcPr>
            <w:tcW w:w="0" w:type="auto"/>
          </w:tcPr>
          <w:p w14:paraId="34B2A25F" w14:textId="77777777" w:rsidR="00EF4E47" w:rsidRPr="00EF4E47" w:rsidRDefault="00EF4E47" w:rsidP="00EF4E47">
            <w:pPr>
              <w:spacing w:before="120" w:after="120"/>
              <w:rPr>
                <w:rFonts w:eastAsiaTheme="majorEastAsia"/>
              </w:rPr>
            </w:pPr>
            <w:r w:rsidRPr="00EF4E47">
              <w:rPr>
                <w:rFonts w:eastAsiaTheme="majorEastAsia"/>
              </w:rPr>
              <w:t>1</w:t>
            </w:r>
          </w:p>
        </w:tc>
        <w:tc>
          <w:tcPr>
            <w:tcW w:w="0" w:type="auto"/>
          </w:tcPr>
          <w:p w14:paraId="440BDC1F" w14:textId="77777777" w:rsidR="00EF4E47" w:rsidRPr="00EF4E47" w:rsidRDefault="00EF4E47" w:rsidP="00EF4E47">
            <w:pPr>
              <w:spacing w:before="120" w:after="120"/>
              <w:rPr>
                <w:rFonts w:eastAsiaTheme="majorEastAsia"/>
              </w:rPr>
            </w:pPr>
            <w:r w:rsidRPr="00EF4E47">
              <w:rPr>
                <w:rFonts w:eastAsiaTheme="majorEastAsia"/>
              </w:rPr>
              <w:t>0</w:t>
            </w:r>
          </w:p>
        </w:tc>
      </w:tr>
      <w:tr w:rsidR="00EF4E47" w:rsidRPr="00EF4E47" w14:paraId="0A8E49A1" w14:textId="77777777" w:rsidTr="00AB78BA">
        <w:tc>
          <w:tcPr>
            <w:tcW w:w="0" w:type="auto"/>
          </w:tcPr>
          <w:p w14:paraId="5A89070F" w14:textId="77777777" w:rsidR="00EF4E47" w:rsidRPr="00EF4E47" w:rsidRDefault="00EF4E47" w:rsidP="00EF4E47">
            <w:pPr>
              <w:spacing w:before="120" w:after="120"/>
              <w:rPr>
                <w:rFonts w:eastAsiaTheme="majorEastAsia"/>
              </w:rPr>
            </w:pPr>
            <w:r w:rsidRPr="00EF4E47">
              <w:rPr>
                <w:rFonts w:eastAsiaTheme="majorEastAsia"/>
              </w:rPr>
              <w:t>201-300</w:t>
            </w:r>
          </w:p>
        </w:tc>
        <w:tc>
          <w:tcPr>
            <w:tcW w:w="0" w:type="auto"/>
          </w:tcPr>
          <w:p w14:paraId="55E0A69C" w14:textId="77777777" w:rsidR="00EF4E47" w:rsidRPr="00EF4E47" w:rsidRDefault="00EF4E47" w:rsidP="00EF4E47">
            <w:pPr>
              <w:spacing w:before="120" w:after="120"/>
              <w:rPr>
                <w:rFonts w:eastAsiaTheme="majorEastAsia"/>
              </w:rPr>
            </w:pPr>
            <w:r w:rsidRPr="00EF4E47">
              <w:rPr>
                <w:rFonts w:eastAsiaTheme="majorEastAsia"/>
              </w:rPr>
              <w:t>2</w:t>
            </w:r>
          </w:p>
        </w:tc>
        <w:tc>
          <w:tcPr>
            <w:tcW w:w="0" w:type="auto"/>
          </w:tcPr>
          <w:p w14:paraId="2664988C" w14:textId="77777777" w:rsidR="00EF4E47" w:rsidRPr="00EF4E47" w:rsidRDefault="00EF4E47" w:rsidP="00EF4E47">
            <w:pPr>
              <w:spacing w:before="120" w:after="120"/>
              <w:rPr>
                <w:rFonts w:eastAsiaTheme="majorEastAsia"/>
              </w:rPr>
            </w:pPr>
            <w:r w:rsidRPr="00EF4E47">
              <w:rPr>
                <w:rFonts w:eastAsiaTheme="majorEastAsia"/>
              </w:rPr>
              <w:t>3</w:t>
            </w:r>
          </w:p>
        </w:tc>
        <w:tc>
          <w:tcPr>
            <w:tcW w:w="0" w:type="auto"/>
          </w:tcPr>
          <w:p w14:paraId="7C3CFF95" w14:textId="77777777" w:rsidR="00EF4E47" w:rsidRPr="00EF4E47" w:rsidRDefault="00EF4E47" w:rsidP="00EF4E47">
            <w:pPr>
              <w:spacing w:before="120" w:after="120"/>
              <w:rPr>
                <w:rFonts w:eastAsiaTheme="majorEastAsia"/>
              </w:rPr>
            </w:pPr>
            <w:r w:rsidRPr="00EF4E47">
              <w:rPr>
                <w:rFonts w:eastAsiaTheme="majorEastAsia"/>
              </w:rPr>
              <w:t>2</w:t>
            </w:r>
          </w:p>
        </w:tc>
        <w:tc>
          <w:tcPr>
            <w:tcW w:w="0" w:type="auto"/>
          </w:tcPr>
          <w:p w14:paraId="4B25F755" w14:textId="77777777" w:rsidR="00EF4E47" w:rsidRPr="00EF4E47" w:rsidRDefault="00EF4E47" w:rsidP="00EF4E47">
            <w:pPr>
              <w:spacing w:before="120" w:after="120"/>
              <w:rPr>
                <w:rFonts w:eastAsiaTheme="majorEastAsia"/>
              </w:rPr>
            </w:pPr>
            <w:r w:rsidRPr="00EF4E47">
              <w:rPr>
                <w:rFonts w:eastAsiaTheme="majorEastAsia"/>
              </w:rPr>
              <w:t>0</w:t>
            </w:r>
          </w:p>
        </w:tc>
      </w:tr>
      <w:tr w:rsidR="00EF4E47" w:rsidRPr="00EF4E47" w14:paraId="7DF57288" w14:textId="77777777" w:rsidTr="00AB78BA">
        <w:tc>
          <w:tcPr>
            <w:tcW w:w="0" w:type="auto"/>
          </w:tcPr>
          <w:p w14:paraId="0FAB5F7C" w14:textId="77777777" w:rsidR="00EF4E47" w:rsidRPr="00EF4E47" w:rsidRDefault="00EF4E47" w:rsidP="00EF4E47">
            <w:pPr>
              <w:spacing w:before="120" w:after="120"/>
              <w:rPr>
                <w:rFonts w:eastAsiaTheme="majorEastAsia"/>
              </w:rPr>
            </w:pPr>
            <w:r w:rsidRPr="00EF4E47">
              <w:rPr>
                <w:rFonts w:eastAsiaTheme="majorEastAsia"/>
              </w:rPr>
              <w:t>301-400</w:t>
            </w:r>
          </w:p>
        </w:tc>
        <w:tc>
          <w:tcPr>
            <w:tcW w:w="0" w:type="auto"/>
          </w:tcPr>
          <w:p w14:paraId="3C7AE227" w14:textId="77777777" w:rsidR="00EF4E47" w:rsidRPr="00EF4E47" w:rsidRDefault="00EF4E47" w:rsidP="00EF4E47">
            <w:pPr>
              <w:spacing w:before="120" w:after="120"/>
              <w:rPr>
                <w:rFonts w:eastAsiaTheme="majorEastAsia"/>
              </w:rPr>
            </w:pPr>
            <w:r w:rsidRPr="00EF4E47">
              <w:rPr>
                <w:rFonts w:eastAsiaTheme="majorEastAsia"/>
              </w:rPr>
              <w:t>3</w:t>
            </w:r>
          </w:p>
        </w:tc>
        <w:tc>
          <w:tcPr>
            <w:tcW w:w="0" w:type="auto"/>
          </w:tcPr>
          <w:p w14:paraId="5142BE4B" w14:textId="77777777" w:rsidR="00EF4E47" w:rsidRPr="00EF4E47" w:rsidRDefault="00EF4E47" w:rsidP="00EF4E47">
            <w:pPr>
              <w:spacing w:before="120" w:after="120"/>
              <w:rPr>
                <w:rFonts w:eastAsiaTheme="majorEastAsia"/>
              </w:rPr>
            </w:pPr>
            <w:r w:rsidRPr="00EF4E47">
              <w:rPr>
                <w:rFonts w:eastAsiaTheme="majorEastAsia"/>
              </w:rPr>
              <w:t>3</w:t>
            </w:r>
          </w:p>
        </w:tc>
        <w:tc>
          <w:tcPr>
            <w:tcW w:w="0" w:type="auto"/>
          </w:tcPr>
          <w:p w14:paraId="088B3212" w14:textId="77777777" w:rsidR="00EF4E47" w:rsidRPr="00EF4E47" w:rsidRDefault="00EF4E47" w:rsidP="00EF4E47">
            <w:pPr>
              <w:spacing w:before="120" w:after="120"/>
              <w:rPr>
                <w:rFonts w:eastAsiaTheme="majorEastAsia"/>
              </w:rPr>
            </w:pPr>
            <w:r w:rsidRPr="00EF4E47">
              <w:rPr>
                <w:rFonts w:eastAsiaTheme="majorEastAsia"/>
              </w:rPr>
              <w:t>2</w:t>
            </w:r>
          </w:p>
        </w:tc>
        <w:tc>
          <w:tcPr>
            <w:tcW w:w="0" w:type="auto"/>
          </w:tcPr>
          <w:p w14:paraId="5F0C8274" w14:textId="77777777" w:rsidR="00EF4E47" w:rsidRPr="00EF4E47" w:rsidRDefault="00EF4E47" w:rsidP="00EF4E47">
            <w:pPr>
              <w:spacing w:before="120" w:after="120"/>
              <w:rPr>
                <w:rFonts w:eastAsiaTheme="majorEastAsia"/>
              </w:rPr>
            </w:pPr>
            <w:r w:rsidRPr="00EF4E47">
              <w:rPr>
                <w:rFonts w:eastAsiaTheme="majorEastAsia"/>
              </w:rPr>
              <w:t>0</w:t>
            </w:r>
          </w:p>
        </w:tc>
      </w:tr>
      <w:tr w:rsidR="00EF4E47" w:rsidRPr="00EF4E47" w14:paraId="1A56D687" w14:textId="77777777" w:rsidTr="00AB78BA">
        <w:tc>
          <w:tcPr>
            <w:tcW w:w="0" w:type="auto"/>
          </w:tcPr>
          <w:p w14:paraId="4C37B5CE" w14:textId="77777777" w:rsidR="00EF4E47" w:rsidRPr="00EF4E47" w:rsidRDefault="00EF4E47" w:rsidP="00EF4E47">
            <w:pPr>
              <w:spacing w:before="120" w:after="120"/>
              <w:rPr>
                <w:rFonts w:eastAsiaTheme="majorEastAsia"/>
              </w:rPr>
            </w:pPr>
            <w:r w:rsidRPr="00EF4E47">
              <w:rPr>
                <w:rFonts w:eastAsiaTheme="majorEastAsia"/>
              </w:rPr>
              <w:t>401-500</w:t>
            </w:r>
          </w:p>
        </w:tc>
        <w:tc>
          <w:tcPr>
            <w:tcW w:w="0" w:type="auto"/>
          </w:tcPr>
          <w:p w14:paraId="104676FB" w14:textId="77777777" w:rsidR="00EF4E47" w:rsidRPr="00EF4E47" w:rsidRDefault="00EF4E47" w:rsidP="00EF4E47">
            <w:pPr>
              <w:spacing w:before="120" w:after="120"/>
              <w:rPr>
                <w:rFonts w:eastAsiaTheme="majorEastAsia"/>
              </w:rPr>
            </w:pPr>
            <w:r w:rsidRPr="00EF4E47">
              <w:rPr>
                <w:rFonts w:eastAsiaTheme="majorEastAsia"/>
              </w:rPr>
              <w:t>3</w:t>
            </w:r>
          </w:p>
        </w:tc>
        <w:tc>
          <w:tcPr>
            <w:tcW w:w="0" w:type="auto"/>
          </w:tcPr>
          <w:p w14:paraId="7A4F382C" w14:textId="77777777" w:rsidR="00EF4E47" w:rsidRPr="00EF4E47" w:rsidRDefault="00EF4E47" w:rsidP="00EF4E47">
            <w:pPr>
              <w:spacing w:before="120" w:after="120"/>
              <w:rPr>
                <w:rFonts w:eastAsiaTheme="majorEastAsia"/>
              </w:rPr>
            </w:pPr>
            <w:r w:rsidRPr="00EF4E47">
              <w:rPr>
                <w:rFonts w:eastAsiaTheme="majorEastAsia"/>
              </w:rPr>
              <w:t>4</w:t>
            </w:r>
          </w:p>
        </w:tc>
        <w:tc>
          <w:tcPr>
            <w:tcW w:w="0" w:type="auto"/>
          </w:tcPr>
          <w:p w14:paraId="4C2AEAA4" w14:textId="77777777" w:rsidR="00EF4E47" w:rsidRPr="00EF4E47" w:rsidRDefault="00EF4E47" w:rsidP="00EF4E47">
            <w:pPr>
              <w:spacing w:before="120" w:after="120"/>
              <w:rPr>
                <w:rFonts w:eastAsiaTheme="majorEastAsia"/>
              </w:rPr>
            </w:pPr>
            <w:r w:rsidRPr="00EF4E47">
              <w:rPr>
                <w:rFonts w:eastAsiaTheme="majorEastAsia"/>
              </w:rPr>
              <w:t>2</w:t>
            </w:r>
          </w:p>
        </w:tc>
        <w:tc>
          <w:tcPr>
            <w:tcW w:w="0" w:type="auto"/>
          </w:tcPr>
          <w:p w14:paraId="25787CC2" w14:textId="77777777" w:rsidR="00EF4E47" w:rsidRPr="00EF4E47" w:rsidRDefault="00EF4E47" w:rsidP="00EF4E47">
            <w:pPr>
              <w:spacing w:before="120" w:after="120"/>
              <w:rPr>
                <w:rFonts w:eastAsiaTheme="majorEastAsia"/>
              </w:rPr>
            </w:pPr>
            <w:r w:rsidRPr="00EF4E47">
              <w:rPr>
                <w:rFonts w:eastAsiaTheme="majorEastAsia"/>
              </w:rPr>
              <w:t>1</w:t>
            </w:r>
          </w:p>
        </w:tc>
      </w:tr>
      <w:tr w:rsidR="00EF4E47" w:rsidRPr="00EF4E47" w14:paraId="2099927F" w14:textId="77777777" w:rsidTr="00AB78BA">
        <w:tc>
          <w:tcPr>
            <w:tcW w:w="0" w:type="auto"/>
          </w:tcPr>
          <w:p w14:paraId="1070A76D" w14:textId="77777777" w:rsidR="00EF4E47" w:rsidRPr="00EF4E47" w:rsidRDefault="00EF4E47" w:rsidP="00EF4E47">
            <w:pPr>
              <w:spacing w:before="120" w:after="120"/>
              <w:rPr>
                <w:rFonts w:eastAsiaTheme="majorEastAsia"/>
              </w:rPr>
            </w:pPr>
            <w:r w:rsidRPr="00EF4E47">
              <w:rPr>
                <w:rFonts w:eastAsiaTheme="majorEastAsia"/>
              </w:rPr>
              <w:t>501-600</w:t>
            </w:r>
          </w:p>
        </w:tc>
        <w:tc>
          <w:tcPr>
            <w:tcW w:w="0" w:type="auto"/>
          </w:tcPr>
          <w:p w14:paraId="4CD3C4C8" w14:textId="77777777" w:rsidR="00EF4E47" w:rsidRPr="00EF4E47" w:rsidRDefault="00EF4E47" w:rsidP="00EF4E47">
            <w:pPr>
              <w:spacing w:before="120" w:after="120"/>
              <w:rPr>
                <w:rFonts w:eastAsiaTheme="majorEastAsia"/>
              </w:rPr>
            </w:pPr>
            <w:r w:rsidRPr="00EF4E47">
              <w:rPr>
                <w:rFonts w:eastAsiaTheme="majorEastAsia"/>
              </w:rPr>
              <w:t>4</w:t>
            </w:r>
          </w:p>
        </w:tc>
        <w:tc>
          <w:tcPr>
            <w:tcW w:w="0" w:type="auto"/>
          </w:tcPr>
          <w:p w14:paraId="733111BB" w14:textId="77777777" w:rsidR="00EF4E47" w:rsidRPr="00EF4E47" w:rsidRDefault="00EF4E47" w:rsidP="00EF4E47">
            <w:pPr>
              <w:spacing w:before="120" w:after="120"/>
              <w:rPr>
                <w:rFonts w:eastAsiaTheme="majorEastAsia"/>
              </w:rPr>
            </w:pPr>
            <w:r w:rsidRPr="00EF4E47">
              <w:rPr>
                <w:rFonts w:eastAsiaTheme="majorEastAsia"/>
              </w:rPr>
              <w:t>5</w:t>
            </w:r>
          </w:p>
        </w:tc>
        <w:tc>
          <w:tcPr>
            <w:tcW w:w="0" w:type="auto"/>
          </w:tcPr>
          <w:p w14:paraId="3C823469" w14:textId="77777777" w:rsidR="00EF4E47" w:rsidRPr="00EF4E47" w:rsidRDefault="00EF4E47" w:rsidP="00EF4E47">
            <w:pPr>
              <w:spacing w:before="120" w:after="120"/>
              <w:rPr>
                <w:rFonts w:eastAsiaTheme="majorEastAsia"/>
              </w:rPr>
            </w:pPr>
            <w:r w:rsidRPr="00EF4E47">
              <w:rPr>
                <w:rFonts w:eastAsiaTheme="majorEastAsia"/>
              </w:rPr>
              <w:t>3</w:t>
            </w:r>
          </w:p>
        </w:tc>
        <w:tc>
          <w:tcPr>
            <w:tcW w:w="0" w:type="auto"/>
          </w:tcPr>
          <w:p w14:paraId="6A217530" w14:textId="77777777" w:rsidR="00EF4E47" w:rsidRPr="00EF4E47" w:rsidRDefault="00EF4E47" w:rsidP="00EF4E47">
            <w:pPr>
              <w:spacing w:before="120" w:after="120"/>
              <w:rPr>
                <w:rFonts w:eastAsiaTheme="majorEastAsia"/>
              </w:rPr>
            </w:pPr>
            <w:r w:rsidRPr="00EF4E47">
              <w:rPr>
                <w:rFonts w:eastAsiaTheme="majorEastAsia"/>
              </w:rPr>
              <w:t>1</w:t>
            </w:r>
          </w:p>
        </w:tc>
      </w:tr>
      <w:tr w:rsidR="00EF4E47" w:rsidRPr="00EF4E47" w14:paraId="796E77D0" w14:textId="77777777" w:rsidTr="00AB78BA">
        <w:tc>
          <w:tcPr>
            <w:tcW w:w="0" w:type="auto"/>
          </w:tcPr>
          <w:p w14:paraId="3E95E6BB" w14:textId="77777777" w:rsidR="00EF4E47" w:rsidRPr="00EF4E47" w:rsidRDefault="00EF4E47" w:rsidP="00EF4E47">
            <w:pPr>
              <w:spacing w:before="120" w:after="120"/>
              <w:rPr>
                <w:rFonts w:eastAsiaTheme="majorEastAsia"/>
              </w:rPr>
            </w:pPr>
            <w:r w:rsidRPr="00EF4E47">
              <w:rPr>
                <w:rFonts w:eastAsiaTheme="majorEastAsia"/>
              </w:rPr>
              <w:t>Over 600</w:t>
            </w:r>
          </w:p>
        </w:tc>
        <w:tc>
          <w:tcPr>
            <w:tcW w:w="0" w:type="auto"/>
          </w:tcPr>
          <w:p w14:paraId="17C1708C" w14:textId="77777777" w:rsidR="00EF4E47" w:rsidRPr="00EF4E47" w:rsidRDefault="00EF4E47" w:rsidP="00EF4E47">
            <w:pPr>
              <w:spacing w:before="120" w:after="120"/>
              <w:rPr>
                <w:rFonts w:eastAsiaTheme="majorEastAsia"/>
              </w:rPr>
            </w:pPr>
            <w:r w:rsidRPr="00EF4E47">
              <w:rPr>
                <w:rFonts w:eastAsiaTheme="majorEastAsia"/>
              </w:rPr>
              <w:t>4</w:t>
            </w:r>
          </w:p>
        </w:tc>
        <w:tc>
          <w:tcPr>
            <w:tcW w:w="0" w:type="auto"/>
          </w:tcPr>
          <w:p w14:paraId="730771D0" w14:textId="77777777" w:rsidR="00EF4E47" w:rsidRPr="00EF4E47" w:rsidRDefault="00EF4E47" w:rsidP="00EF4E47">
            <w:pPr>
              <w:spacing w:before="120" w:after="120"/>
              <w:rPr>
                <w:rFonts w:eastAsiaTheme="majorEastAsia"/>
              </w:rPr>
            </w:pPr>
            <w:r w:rsidRPr="00EF4E47">
              <w:rPr>
                <w:rFonts w:eastAsiaTheme="majorEastAsia"/>
              </w:rPr>
              <w:t>6</w:t>
            </w:r>
          </w:p>
        </w:tc>
        <w:tc>
          <w:tcPr>
            <w:tcW w:w="0" w:type="auto"/>
          </w:tcPr>
          <w:p w14:paraId="7FA63949" w14:textId="77777777" w:rsidR="00EF4E47" w:rsidRPr="00EF4E47" w:rsidRDefault="00EF4E47" w:rsidP="00EF4E47">
            <w:pPr>
              <w:spacing w:before="120" w:after="120"/>
              <w:rPr>
                <w:rFonts w:eastAsiaTheme="majorEastAsia"/>
              </w:rPr>
            </w:pPr>
            <w:r w:rsidRPr="00EF4E47">
              <w:rPr>
                <w:rFonts w:eastAsiaTheme="majorEastAsia"/>
              </w:rPr>
              <w:t>3</w:t>
            </w:r>
          </w:p>
        </w:tc>
        <w:tc>
          <w:tcPr>
            <w:tcW w:w="0" w:type="auto"/>
          </w:tcPr>
          <w:p w14:paraId="26F0A81F" w14:textId="77777777" w:rsidR="00EF4E47" w:rsidRPr="00EF4E47" w:rsidRDefault="00EF4E47" w:rsidP="00EF4E47">
            <w:pPr>
              <w:spacing w:before="120" w:after="120"/>
              <w:rPr>
                <w:rFonts w:eastAsiaTheme="majorEastAsia"/>
              </w:rPr>
            </w:pPr>
            <w:r w:rsidRPr="00EF4E47">
              <w:rPr>
                <w:rFonts w:eastAsiaTheme="majorEastAsia"/>
              </w:rPr>
              <w:t>2</w:t>
            </w:r>
          </w:p>
        </w:tc>
      </w:tr>
    </w:tbl>
    <w:p w14:paraId="1DF75C81" w14:textId="77777777" w:rsidR="00EF4E47" w:rsidRPr="00EF4E47" w:rsidRDefault="00EF4E47" w:rsidP="00EF4E47">
      <w:pPr>
        <w:ind w:left="720" w:hanging="720"/>
        <w:rPr>
          <w:rFonts w:eastAsiaTheme="majorEastAsia"/>
        </w:rPr>
      </w:pPr>
      <w:r w:rsidRPr="00EF4E47">
        <w:rPr>
          <w:rFonts w:eastAsiaTheme="majorEastAsia"/>
        </w:rPr>
        <w:t>5.06</w:t>
      </w:r>
      <w:r w:rsidRPr="00EF4E47">
        <w:rPr>
          <w:rFonts w:eastAsiaTheme="majorEastAsia"/>
        </w:rPr>
        <w:tab/>
        <w:t>During the event, the applicant and workers shall be required to wear highly visual “Event Staff” identification, supplied by the applicant.</w:t>
      </w:r>
    </w:p>
    <w:p w14:paraId="35A470BE" w14:textId="77777777" w:rsidR="00EF4E47" w:rsidRPr="00EF4E47" w:rsidRDefault="00EF4E47" w:rsidP="00EF4E47">
      <w:pPr>
        <w:ind w:left="720" w:hanging="720"/>
        <w:rPr>
          <w:rFonts w:eastAsiaTheme="majorEastAsia"/>
        </w:rPr>
      </w:pPr>
      <w:r w:rsidRPr="00EF4E47">
        <w:rPr>
          <w:rFonts w:eastAsiaTheme="majorEastAsia"/>
        </w:rPr>
        <w:t>5.07</w:t>
      </w:r>
      <w:r w:rsidRPr="00EF4E47">
        <w:rPr>
          <w:rFonts w:eastAsiaTheme="majorEastAsia"/>
        </w:rPr>
        <w:tab/>
        <w:t>All SOP events shall be staffed by an appropriate number of event workers in accordance with approved facility/area procedures as described the Permit Holder Agreement.  These workers must be 19 years of age or older.</w:t>
      </w:r>
    </w:p>
    <w:p w14:paraId="0086057D" w14:textId="77777777" w:rsidR="00EF4E47" w:rsidRPr="00EF4E47" w:rsidRDefault="00EF4E47" w:rsidP="00EF4E47">
      <w:pPr>
        <w:ind w:left="720" w:hanging="720"/>
        <w:rPr>
          <w:rFonts w:eastAsiaTheme="majorEastAsia"/>
        </w:rPr>
      </w:pPr>
      <w:r w:rsidRPr="00EF4E47">
        <w:rPr>
          <w:rFonts w:eastAsiaTheme="majorEastAsia"/>
        </w:rPr>
        <w:t>5.08</w:t>
      </w:r>
      <w:r w:rsidRPr="00EF4E47">
        <w:rPr>
          <w:rFonts w:eastAsiaTheme="majorEastAsia"/>
        </w:rPr>
        <w:tab/>
        <w:t>Certain municipal properties do not have regularly scheduled City staff. Should an event be scheduled for one of these properties, staff or community centre volunteers may be scheduled on site for the duration of the event at the expense of the organizer. Such scheduling is at the discretion of the Manager of Parks, Recreation and Culture.</w:t>
      </w:r>
    </w:p>
    <w:p w14:paraId="308D456F" w14:textId="77777777" w:rsidR="00EF4E47" w:rsidRPr="00EF4E47" w:rsidRDefault="00EF4E47" w:rsidP="00EF4E47">
      <w:pPr>
        <w:ind w:left="720" w:hanging="720"/>
        <w:rPr>
          <w:rFonts w:eastAsiaTheme="majorEastAsia"/>
        </w:rPr>
      </w:pPr>
      <w:r w:rsidRPr="00EF4E47">
        <w:rPr>
          <w:rFonts w:eastAsiaTheme="majorEastAsia"/>
        </w:rPr>
        <w:lastRenderedPageBreak/>
        <w:t>5.09</w:t>
      </w:r>
      <w:r w:rsidRPr="00EF4E47">
        <w:rPr>
          <w:rFonts w:eastAsiaTheme="majorEastAsia"/>
        </w:rPr>
        <w:tab/>
        <w:t>All SOP events should provide information on alternate transportation for event participants.</w:t>
      </w:r>
    </w:p>
    <w:p w14:paraId="36AD6F92" w14:textId="77777777" w:rsidR="00EF4E47" w:rsidRPr="00EF4E47" w:rsidRDefault="00EF4E47" w:rsidP="00EF4E47">
      <w:pPr>
        <w:ind w:left="720" w:hanging="720"/>
        <w:rPr>
          <w:rFonts w:eastAsiaTheme="majorEastAsia"/>
        </w:rPr>
      </w:pPr>
      <w:r w:rsidRPr="00EF4E47">
        <w:rPr>
          <w:rFonts w:eastAsiaTheme="majorEastAsia"/>
        </w:rPr>
        <w:t>5.10</w:t>
      </w:r>
      <w:r w:rsidRPr="00EF4E47">
        <w:rPr>
          <w:rFonts w:eastAsiaTheme="majorEastAsia"/>
        </w:rPr>
        <w:tab/>
        <w:t>The applicant, other than Committees of Council, shall ensure that the organization carries a minimum of $2,000,000.00 liability insurance and “The Corporation of the City of Kawartha Lakes” is named as an Additional Insured.</w:t>
      </w:r>
    </w:p>
    <w:p w14:paraId="369DF484" w14:textId="77777777" w:rsidR="00EF4E47" w:rsidRPr="00EF4E47" w:rsidRDefault="00EF4E47" w:rsidP="00EF4E47">
      <w:pPr>
        <w:ind w:left="720" w:hanging="720"/>
        <w:rPr>
          <w:rFonts w:eastAsiaTheme="majorEastAsia"/>
        </w:rPr>
      </w:pPr>
      <w:r w:rsidRPr="00EF4E47">
        <w:rPr>
          <w:rFonts w:eastAsiaTheme="majorEastAsia"/>
        </w:rPr>
        <w:t>5.11</w:t>
      </w:r>
      <w:r w:rsidRPr="00EF4E47">
        <w:rPr>
          <w:rFonts w:eastAsiaTheme="majorEastAsia"/>
        </w:rPr>
        <w:tab/>
        <w:t>Council shall formally review the Municipal Alcohol Policy in consultation with the Municipal Administrative staff on a regular basis.</w:t>
      </w:r>
    </w:p>
    <w:p w14:paraId="50752E13" w14:textId="6E756CF9" w:rsidR="0090099E" w:rsidRPr="0090099E" w:rsidRDefault="0090099E" w:rsidP="00BB771F">
      <w:pPr>
        <w:pStyle w:val="Heading1"/>
      </w:pPr>
      <w:r w:rsidRPr="0090099E">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B83F17">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B83F17">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1418"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bl>
    <w:p w14:paraId="5990887B" w14:textId="63F98755" w:rsidR="00467795" w:rsidRDefault="00467795">
      <w:pPr>
        <w:spacing w:before="0" w:after="200" w:line="276" w:lineRule="auto"/>
        <w:rPr>
          <w:rFonts w:ascii="Tahoma" w:hAnsi="Tahoma" w:cs="Tahoma"/>
        </w:rPr>
      </w:pPr>
    </w:p>
    <w:sectPr w:rsidR="00467795" w:rsidSect="008E5E29">
      <w:footerReference w:type="default" r:id="rId10"/>
      <w:headerReference w:type="first" r:id="rId11"/>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641747F5" w:rsidR="00226B10" w:rsidRPr="00F95061" w:rsidRDefault="0074121C" w:rsidP="00F95061">
            <w:pPr>
              <w:pStyle w:val="Footer"/>
              <w:jc w:val="right"/>
              <w:rPr>
                <w:rFonts w:cs="Arial"/>
                <w:sz w:val="20"/>
                <w:szCs w:val="20"/>
              </w:rPr>
            </w:pPr>
            <w:r>
              <w:rPr>
                <w:rFonts w:cs="Arial"/>
                <w:sz w:val="20"/>
                <w:szCs w:val="20"/>
              </w:rPr>
              <w:t>CP201</w:t>
            </w:r>
            <w:r w:rsidR="00EF4E47">
              <w:rPr>
                <w:rFonts w:cs="Arial"/>
                <w:sz w:val="20"/>
                <w:szCs w:val="20"/>
              </w:rPr>
              <w:t>9</w:t>
            </w:r>
            <w:r>
              <w:rPr>
                <w:rFonts w:cs="Arial"/>
                <w:sz w:val="20"/>
                <w:szCs w:val="20"/>
              </w:rPr>
              <w:t>-0</w:t>
            </w:r>
            <w:r w:rsidR="00033D43">
              <w:rPr>
                <w:rFonts w:cs="Arial"/>
                <w:sz w:val="20"/>
                <w:szCs w:val="20"/>
              </w:rPr>
              <w:t>05</w:t>
            </w:r>
            <w:r>
              <w:rPr>
                <w:rFonts w:cs="Arial"/>
                <w:sz w:val="20"/>
                <w:szCs w:val="20"/>
              </w:rPr>
              <w:t xml:space="preserve"> </w:t>
            </w:r>
            <w:r w:rsidR="00EF4E47">
              <w:rPr>
                <w:rFonts w:cs="Arial"/>
                <w:sz w:val="20"/>
                <w:szCs w:val="20"/>
              </w:rPr>
              <w:t>Alcohol Management on Municipal Premises</w:t>
            </w:r>
            <w:r w:rsidR="00033D43">
              <w:rPr>
                <w:rFonts w:cs="Arial"/>
                <w:sz w:val="20"/>
                <w:szCs w:val="20"/>
              </w:rPr>
              <w:t xml:space="preserve">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953018">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953018">
              <w:rPr>
                <w:rFonts w:cs="Arial"/>
                <w:bCs/>
                <w:noProof/>
                <w:sz w:val="20"/>
                <w:szCs w:val="20"/>
              </w:rPr>
              <w:t>7</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4CB"/>
    <w:multiLevelType w:val="hybridMultilevel"/>
    <w:tmpl w:val="F9668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F3A7F"/>
    <w:multiLevelType w:val="hybridMultilevel"/>
    <w:tmpl w:val="91FAA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83D29"/>
    <w:multiLevelType w:val="hybridMultilevel"/>
    <w:tmpl w:val="344CB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54340E"/>
    <w:multiLevelType w:val="multilevel"/>
    <w:tmpl w:val="609CBDD4"/>
    <w:lvl w:ilvl="0">
      <w:start w:val="6"/>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61627A"/>
    <w:multiLevelType w:val="hybridMultilevel"/>
    <w:tmpl w:val="3AF8B59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6D6E8F"/>
    <w:multiLevelType w:val="hybridMultilevel"/>
    <w:tmpl w:val="BB54FE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69669F"/>
    <w:multiLevelType w:val="hybridMultilevel"/>
    <w:tmpl w:val="AA46B77E"/>
    <w:lvl w:ilvl="0" w:tplc="F83C9C5A">
      <w:start w:val="1"/>
      <w:numFmt w:val="lowerRoman"/>
      <w:lvlText w:val="%1)"/>
      <w:lvlJc w:val="left"/>
      <w:pPr>
        <w:tabs>
          <w:tab w:val="num" w:pos="1440"/>
        </w:tabs>
        <w:ind w:left="1440" w:hanging="720"/>
      </w:pPr>
      <w:rPr>
        <w:rFonts w:hint="default"/>
      </w:rPr>
    </w:lvl>
    <w:lvl w:ilvl="1" w:tplc="D1AC6F94">
      <w:start w:val="1"/>
      <w:numFmt w:val="bullet"/>
      <w:lvlText w:val=""/>
      <w:lvlJc w:val="left"/>
      <w:pPr>
        <w:tabs>
          <w:tab w:val="num" w:pos="1890"/>
        </w:tabs>
        <w:ind w:left="1890" w:hanging="450"/>
      </w:pPr>
      <w:rPr>
        <w:rFonts w:ascii="Wingdings" w:eastAsia="Times New Roman" w:hAnsi="Wingding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A0110BE"/>
    <w:multiLevelType w:val="hybridMultilevel"/>
    <w:tmpl w:val="D2CA2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5092D"/>
    <w:multiLevelType w:val="multilevel"/>
    <w:tmpl w:val="5E045040"/>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632283"/>
    <w:multiLevelType w:val="hybridMultilevel"/>
    <w:tmpl w:val="5FEEB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A86CD4"/>
    <w:multiLevelType w:val="hybridMultilevel"/>
    <w:tmpl w:val="8474FAD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4707465"/>
    <w:multiLevelType w:val="hybridMultilevel"/>
    <w:tmpl w:val="2ACC1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A4613"/>
    <w:multiLevelType w:val="multilevel"/>
    <w:tmpl w:val="F6FE11D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8F628C"/>
    <w:multiLevelType w:val="hybridMultilevel"/>
    <w:tmpl w:val="AB5C7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DA1D9A"/>
    <w:multiLevelType w:val="hybridMultilevel"/>
    <w:tmpl w:val="ABB82DC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6A36EE"/>
    <w:multiLevelType w:val="hybridMultilevel"/>
    <w:tmpl w:val="1A5CB4C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46097CA4"/>
    <w:multiLevelType w:val="multilevel"/>
    <w:tmpl w:val="E4A058B2"/>
    <w:lvl w:ilvl="0">
      <w:start w:val="5"/>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BF34E8"/>
    <w:multiLevelType w:val="hybridMultilevel"/>
    <w:tmpl w:val="BAD28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02DE9"/>
    <w:multiLevelType w:val="multilevel"/>
    <w:tmpl w:val="FAFAD640"/>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7C85DD6"/>
    <w:multiLevelType w:val="hybridMultilevel"/>
    <w:tmpl w:val="B4746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60674"/>
    <w:multiLevelType w:val="hybridMultilevel"/>
    <w:tmpl w:val="77403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731429"/>
    <w:multiLevelType w:val="hybridMultilevel"/>
    <w:tmpl w:val="9446B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8667F5"/>
    <w:multiLevelType w:val="multilevel"/>
    <w:tmpl w:val="BCC44896"/>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EAD353C"/>
    <w:multiLevelType w:val="hybridMultilevel"/>
    <w:tmpl w:val="EB3E72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C37A3B"/>
    <w:multiLevelType w:val="multilevel"/>
    <w:tmpl w:val="1A92C31E"/>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9844CD"/>
    <w:multiLevelType w:val="hybridMultilevel"/>
    <w:tmpl w:val="DA243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D314F4"/>
    <w:multiLevelType w:val="multilevel"/>
    <w:tmpl w:val="DFFAFA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20"/>
  </w:num>
  <w:num w:numId="3">
    <w:abstractNumId w:val="19"/>
  </w:num>
  <w:num w:numId="4">
    <w:abstractNumId w:val="11"/>
  </w:num>
  <w:num w:numId="5">
    <w:abstractNumId w:val="7"/>
  </w:num>
  <w:num w:numId="6">
    <w:abstractNumId w:val="1"/>
  </w:num>
  <w:num w:numId="7">
    <w:abstractNumId w:val="0"/>
  </w:num>
  <w:num w:numId="8">
    <w:abstractNumId w:val="17"/>
  </w:num>
  <w:num w:numId="9">
    <w:abstractNumId w:val="13"/>
  </w:num>
  <w:num w:numId="10">
    <w:abstractNumId w:val="21"/>
  </w:num>
  <w:num w:numId="11">
    <w:abstractNumId w:val="23"/>
  </w:num>
  <w:num w:numId="12">
    <w:abstractNumId w:val="26"/>
  </w:num>
  <w:num w:numId="13">
    <w:abstractNumId w:val="12"/>
  </w:num>
  <w:num w:numId="14">
    <w:abstractNumId w:val="24"/>
  </w:num>
  <w:num w:numId="15">
    <w:abstractNumId w:val="22"/>
  </w:num>
  <w:num w:numId="16">
    <w:abstractNumId w:val="8"/>
  </w:num>
  <w:num w:numId="17">
    <w:abstractNumId w:val="16"/>
  </w:num>
  <w:num w:numId="18">
    <w:abstractNumId w:val="6"/>
  </w:num>
  <w:num w:numId="19">
    <w:abstractNumId w:val="3"/>
  </w:num>
  <w:num w:numId="20">
    <w:abstractNumId w:val="15"/>
  </w:num>
  <w:num w:numId="21">
    <w:abstractNumId w:val="18"/>
  </w:num>
  <w:num w:numId="22">
    <w:abstractNumId w:val="25"/>
  </w:num>
  <w:num w:numId="23">
    <w:abstractNumId w:val="9"/>
  </w:num>
  <w:num w:numId="24">
    <w:abstractNumId w:val="2"/>
  </w:num>
  <w:num w:numId="25">
    <w:abstractNumId w:val="14"/>
  </w:num>
  <w:num w:numId="26">
    <w:abstractNumId w:val="10"/>
  </w:num>
  <w:num w:numId="2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3D43"/>
    <w:rsid w:val="00064753"/>
    <w:rsid w:val="00065EA2"/>
    <w:rsid w:val="000F2CCD"/>
    <w:rsid w:val="00170791"/>
    <w:rsid w:val="00226B10"/>
    <w:rsid w:val="00283D40"/>
    <w:rsid w:val="002A4BEF"/>
    <w:rsid w:val="002F661F"/>
    <w:rsid w:val="00331815"/>
    <w:rsid w:val="003731C2"/>
    <w:rsid w:val="003E69C2"/>
    <w:rsid w:val="00425202"/>
    <w:rsid w:val="00467795"/>
    <w:rsid w:val="004B540D"/>
    <w:rsid w:val="004D6A83"/>
    <w:rsid w:val="006C50B4"/>
    <w:rsid w:val="006E31BC"/>
    <w:rsid w:val="0074121C"/>
    <w:rsid w:val="007A4E37"/>
    <w:rsid w:val="007F67E1"/>
    <w:rsid w:val="008A56B9"/>
    <w:rsid w:val="008E5E29"/>
    <w:rsid w:val="0090099E"/>
    <w:rsid w:val="00953018"/>
    <w:rsid w:val="009D3584"/>
    <w:rsid w:val="009E7C86"/>
    <w:rsid w:val="00A07FCF"/>
    <w:rsid w:val="00A136DA"/>
    <w:rsid w:val="00A3629C"/>
    <w:rsid w:val="00AC4A09"/>
    <w:rsid w:val="00AF0C75"/>
    <w:rsid w:val="00B12CB8"/>
    <w:rsid w:val="00B3779B"/>
    <w:rsid w:val="00B46DDC"/>
    <w:rsid w:val="00B5071F"/>
    <w:rsid w:val="00B614C0"/>
    <w:rsid w:val="00B83F17"/>
    <w:rsid w:val="00BB771F"/>
    <w:rsid w:val="00C06DED"/>
    <w:rsid w:val="00C2623F"/>
    <w:rsid w:val="00C74F14"/>
    <w:rsid w:val="00D21202"/>
    <w:rsid w:val="00D744ED"/>
    <w:rsid w:val="00DC04AB"/>
    <w:rsid w:val="00DC2655"/>
    <w:rsid w:val="00E57B90"/>
    <w:rsid w:val="00EC2875"/>
    <w:rsid w:val="00EC2B18"/>
    <w:rsid w:val="00EF4E47"/>
    <w:rsid w:val="00F074B9"/>
    <w:rsid w:val="00F70B5B"/>
    <w:rsid w:val="00F92086"/>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731C2"/>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3731C2"/>
    <w:pPr>
      <w:keepNext/>
      <w:keepLines/>
      <w:outlineLvl w:val="1"/>
    </w:pPr>
    <w:rPr>
      <w:rFonts w:eastAsiaTheme="majorEastAsia" w:cstheme="majorBidi"/>
      <w:b/>
      <w:color w:val="1F497D" w:themeColor="text2"/>
      <w:sz w:val="28"/>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731C2"/>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731C2"/>
    <w:rPr>
      <w:rFonts w:ascii="Arial" w:eastAsiaTheme="majorEastAsia" w:hAnsi="Arial" w:cstheme="majorBidi"/>
      <w:b/>
      <w:color w:val="1F497D" w:themeColor="text2"/>
      <w:sz w:val="28"/>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15</COKL_x0020_Division>
    <COKL_x0020_Department xmlns="e63dacc3-515c-4cce-91e5-d3c507c5e648">7</COKL_x0020_Department>
    <Effective_x0020_Date xmlns="e63dacc3-515c-4cce-91e5-d3c507c5e648">2019-06-18T04:00:00+00:00</Effective_x0020_Date>
    <Policy_x0020_Number xmlns="e63dacc3-515c-4cce-91e5-d3c507c5e648">CP2019-006</Policy_x0020_Number>
    <Related_x0020_Procedure xmlns="e63dacc3-515c-4cce-91e5-d3c507c5e648" xsi:nil="true"/>
    <Approval_x0020_Date xmlns="e63dacc3-515c-4cce-91e5-d3c507c5e648">2019-06-18T04:00:00+00:00</Approval_x0020_Date>
    <Related_x0020_Policy xmlns="e63dacc3-515c-4cce-91e5-d3c507c5e648" xsi:nil="true"/>
    <Policy_x0020_Name xmlns="e63dacc3-515c-4cce-91e5-d3c507c5e648">Alcohol Management on Municipal Premises</Policy_x0020_Name>
    <Policy_x0020_Category xmlns="e63dacc3-515c-4cce-91e5-d3c507c5e648">Section H - Parks, Recreation and Culture</Policy_x0020_Category>
  </documentManagement>
</p:properties>
</file>

<file path=customXml/itemProps1.xml><?xml version="1.0" encoding="utf-8"?>
<ds:datastoreItem xmlns:ds="http://schemas.openxmlformats.org/officeDocument/2006/customXml" ds:itemID="{F39EE26A-5E0F-4DAA-9E3B-EBC9F8B54668}">
  <ds:schemaRefs>
    <ds:schemaRef ds:uri="http://schemas.microsoft.com/sharepoint/v3/contenttype/forms"/>
  </ds:schemaRefs>
</ds:datastoreItem>
</file>

<file path=customXml/itemProps2.xml><?xml version="1.0" encoding="utf-8"?>
<ds:datastoreItem xmlns:ds="http://schemas.openxmlformats.org/officeDocument/2006/customXml" ds:itemID="{C7F4B9A0-7059-4E36-8419-AB3CBADC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386B-2E1F-41A5-A116-13C235F3FC5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a4dff7f-e1df-4b8c-833d-e1f80b098c4f"/>
    <ds:schemaRef ds:uri="e63dacc3-515c-4cce-91e5-d3c507c5e64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2025-01-03T19:48:00Z</dcterms:created>
  <dcterms:modified xsi:type="dcterms:W3CDTF">2025-01-03T19:48:00Z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3502a123-0866-4884-bdda-a29e41d68d33</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y fmtid="{D5CDD505-2E9C-101B-9397-08002B2CF9AE}" pid="7" name="Order">
    <vt:r8>1600</vt:r8>
  </property>
  <property fmtid="{D5CDD505-2E9C-101B-9397-08002B2CF9AE}" pid="8" name="_ExtendedDescription">
    <vt:lpwstr/>
  </property>
  <property fmtid="{D5CDD505-2E9C-101B-9397-08002B2CF9AE}" pid="9" name="Policy Type">
    <vt:lpwstr>Corporate</vt:lpwstr>
  </property>
  <property fmtid="{D5CDD505-2E9C-101B-9397-08002B2CF9AE}" pid="10" name="Policy Sub Category">
    <vt:lpwstr>H.12 - Policies/Studies</vt:lpwstr>
  </property>
</Properties>
</file>