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EC2B18" w14:paraId="73DF5091" w14:textId="77777777" w:rsidTr="00822E03">
        <w:trPr>
          <w:trHeight w:val="521"/>
        </w:trPr>
        <w:tc>
          <w:tcPr>
            <w:tcW w:w="4695" w:type="dxa"/>
            <w:vAlign w:val="center"/>
          </w:tcPr>
          <w:p w14:paraId="0DD9E1F6" w14:textId="77777777" w:rsidR="00EC2B18" w:rsidRDefault="00EC2B18" w:rsidP="00EC2B18">
            <w:pPr>
              <w:rPr>
                <w:rFonts w:cs="Arial"/>
              </w:rPr>
            </w:pPr>
            <w:bookmarkStart w:id="0" w:name="_GoBack"/>
            <w:bookmarkEnd w:id="0"/>
            <w:r w:rsidRPr="00677D1E">
              <w:rPr>
                <w:rFonts w:cs="Arial"/>
              </w:rPr>
              <w:t>Council Policy No.:</w:t>
            </w:r>
          </w:p>
        </w:tc>
        <w:tc>
          <w:tcPr>
            <w:tcW w:w="4655" w:type="dxa"/>
          </w:tcPr>
          <w:p w14:paraId="7ABE5C13" w14:textId="77777777" w:rsidR="00EC2B18" w:rsidRDefault="00EC2B18" w:rsidP="00EC2B18">
            <w:pPr>
              <w:rPr>
                <w:rFonts w:cs="Arial"/>
              </w:rPr>
            </w:pPr>
            <w:r w:rsidRPr="00EF6C9E">
              <w:t>CP2018-015</w:t>
            </w:r>
          </w:p>
        </w:tc>
      </w:tr>
      <w:tr w:rsidR="00EC2B18" w14:paraId="39667C06" w14:textId="77777777" w:rsidTr="00822E03">
        <w:trPr>
          <w:trHeight w:val="539"/>
        </w:trPr>
        <w:tc>
          <w:tcPr>
            <w:tcW w:w="4695" w:type="dxa"/>
            <w:vAlign w:val="center"/>
          </w:tcPr>
          <w:p w14:paraId="5922BAB1" w14:textId="77777777" w:rsidR="00EC2B18" w:rsidRDefault="00EC2B18" w:rsidP="00EC2B18">
            <w:pPr>
              <w:rPr>
                <w:rFonts w:cs="Arial"/>
              </w:rPr>
            </w:pPr>
            <w:r w:rsidRPr="00677D1E">
              <w:rPr>
                <w:rFonts w:cs="Arial"/>
              </w:rPr>
              <w:t>Council Policy Name:</w:t>
            </w:r>
          </w:p>
        </w:tc>
        <w:tc>
          <w:tcPr>
            <w:tcW w:w="4655" w:type="dxa"/>
          </w:tcPr>
          <w:p w14:paraId="2461076C" w14:textId="77777777" w:rsidR="00EC2B18" w:rsidRDefault="00EC2B18" w:rsidP="00EC2B18">
            <w:pPr>
              <w:rPr>
                <w:rFonts w:cs="Arial"/>
              </w:rPr>
            </w:pPr>
            <w:r w:rsidRPr="00EF6C9E">
              <w:t>Council Computer Systems</w:t>
            </w:r>
          </w:p>
        </w:tc>
      </w:tr>
      <w:tr w:rsidR="00EC2B18" w14:paraId="65D566E2" w14:textId="77777777" w:rsidTr="00822E03">
        <w:trPr>
          <w:trHeight w:val="530"/>
        </w:trPr>
        <w:tc>
          <w:tcPr>
            <w:tcW w:w="4695" w:type="dxa"/>
            <w:vAlign w:val="center"/>
          </w:tcPr>
          <w:p w14:paraId="2BB0B817" w14:textId="77777777" w:rsidR="00EC2B18" w:rsidRDefault="00EC2B18" w:rsidP="00EC2B18">
            <w:pPr>
              <w:rPr>
                <w:rFonts w:cs="Arial"/>
              </w:rPr>
            </w:pPr>
            <w:r w:rsidRPr="00677D1E">
              <w:rPr>
                <w:rFonts w:cs="Arial"/>
              </w:rPr>
              <w:t>Date Approved by Council:</w:t>
            </w:r>
          </w:p>
        </w:tc>
        <w:tc>
          <w:tcPr>
            <w:tcW w:w="4655" w:type="dxa"/>
          </w:tcPr>
          <w:p w14:paraId="35930FE4" w14:textId="77777777" w:rsidR="00EC2B18" w:rsidRDefault="00EC2B18" w:rsidP="00EC2B18">
            <w:pPr>
              <w:rPr>
                <w:rFonts w:cs="Arial"/>
              </w:rPr>
            </w:pPr>
            <w:r w:rsidRPr="00EF6C9E">
              <w:t>September 25, 2018 CR2018-589</w:t>
            </w:r>
          </w:p>
        </w:tc>
      </w:tr>
      <w:tr w:rsidR="00EC2B18" w14:paraId="5C00FC85" w14:textId="77777777" w:rsidTr="00822E03">
        <w:trPr>
          <w:trHeight w:val="530"/>
        </w:trPr>
        <w:tc>
          <w:tcPr>
            <w:tcW w:w="4695" w:type="dxa"/>
            <w:vAlign w:val="center"/>
          </w:tcPr>
          <w:p w14:paraId="46D8C9C3" w14:textId="77777777" w:rsidR="00EC2B18" w:rsidRDefault="00EC2B18" w:rsidP="00EC2B18">
            <w:pPr>
              <w:rPr>
                <w:rFonts w:cs="Arial"/>
              </w:rPr>
            </w:pPr>
            <w:r w:rsidRPr="00677D1E">
              <w:rPr>
                <w:rFonts w:cs="Arial"/>
              </w:rPr>
              <w:t>Date revision approved by Council:</w:t>
            </w:r>
          </w:p>
        </w:tc>
        <w:tc>
          <w:tcPr>
            <w:tcW w:w="4655" w:type="dxa"/>
          </w:tcPr>
          <w:p w14:paraId="05C119A2" w14:textId="4EC99FF4" w:rsidR="00EC2B18" w:rsidRDefault="00BB1EF7" w:rsidP="00EC2B18">
            <w:pPr>
              <w:rPr>
                <w:rFonts w:cs="Arial"/>
              </w:rPr>
            </w:pPr>
            <w:r>
              <w:rPr>
                <w:rFonts w:cs="Arial"/>
              </w:rPr>
              <w:t>April 18, 2023 CW2023-124/CR2023-213</w:t>
            </w:r>
            <w:r w:rsidR="00150635">
              <w:rPr>
                <w:rFonts w:cs="Arial"/>
              </w:rPr>
              <w:br/>
              <w:t>June 25, 2024 CR2024-330</w:t>
            </w:r>
          </w:p>
        </w:tc>
      </w:tr>
      <w:tr w:rsidR="00EC2B18" w14:paraId="4C958559" w14:textId="77777777" w:rsidTr="00EC2B18">
        <w:trPr>
          <w:trHeight w:val="770"/>
        </w:trPr>
        <w:tc>
          <w:tcPr>
            <w:tcW w:w="4695" w:type="dxa"/>
            <w:vAlign w:val="center"/>
          </w:tcPr>
          <w:p w14:paraId="2CE45BA6" w14:textId="77777777" w:rsidR="00EC2B18" w:rsidRDefault="00EC2B18" w:rsidP="00EC2B18">
            <w:pPr>
              <w:rPr>
                <w:rFonts w:cs="Arial"/>
              </w:rPr>
            </w:pPr>
            <w:r w:rsidRPr="00677D1E">
              <w:rPr>
                <w:rFonts w:cs="Arial"/>
              </w:rPr>
              <w:t>Related SOP, Management Directive, Council Policy, Forms</w:t>
            </w:r>
          </w:p>
        </w:tc>
        <w:tc>
          <w:tcPr>
            <w:tcW w:w="4655" w:type="dxa"/>
            <w:vAlign w:val="center"/>
          </w:tcPr>
          <w:p w14:paraId="4F9CC745" w14:textId="77777777" w:rsidR="00EC2B18" w:rsidRDefault="00EC2B18" w:rsidP="00EC2B18">
            <w:pPr>
              <w:spacing w:before="0" w:after="0"/>
              <w:rPr>
                <w:rFonts w:cs="Arial"/>
              </w:rPr>
            </w:pPr>
            <w:r w:rsidRPr="00EF6C9E">
              <w:t>Information Systems Management Directive</w:t>
            </w:r>
          </w:p>
        </w:tc>
      </w:tr>
    </w:tbl>
    <w:p w14:paraId="1F2974A9" w14:textId="77777777" w:rsid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 Statement and Rationale:</w:t>
      </w:r>
    </w:p>
    <w:p w14:paraId="146D3C42" w14:textId="77777777" w:rsidR="00EC2B18" w:rsidRPr="00EC2B18" w:rsidRDefault="00EC2B18" w:rsidP="00EC2B18">
      <w:pPr>
        <w:rPr>
          <w:rFonts w:cs="Arial"/>
        </w:rPr>
      </w:pPr>
      <w:r w:rsidRPr="00EC2B18">
        <w:rPr>
          <w:rFonts w:cs="Arial"/>
        </w:rPr>
        <w:t xml:space="preserve">The Corporation of </w:t>
      </w:r>
      <w:r w:rsidR="00EF23E8">
        <w:rPr>
          <w:rFonts w:cs="Arial"/>
        </w:rPr>
        <w:t>t</w:t>
      </w:r>
      <w:r w:rsidRPr="00EC2B18">
        <w:rPr>
          <w:rFonts w:cs="Arial"/>
        </w:rPr>
        <w:t>he City of Kawartha Lakes supports the strategic use of technology ensuring better service to our citizens now and in the future.  As part of this use, it is important to ensure that Members of Council are equipped with the technological resources to assist them in carrying out the City’s business.</w:t>
      </w:r>
    </w:p>
    <w:p w14:paraId="3DAD60AE" w14:textId="77777777" w:rsidR="00EC2B18" w:rsidRPr="00EC2B18" w:rsidRDefault="00EC2B18" w:rsidP="00EC2B18">
      <w:pPr>
        <w:rPr>
          <w:rFonts w:cs="Arial"/>
        </w:rPr>
      </w:pPr>
      <w:r w:rsidRPr="00EC2B18">
        <w:rPr>
          <w:rFonts w:cs="Arial"/>
        </w:rPr>
        <w:t>This technology will facilitate communication amongst Members of Council, City staff, and residents and will support Council in providing an enhanced level of service to City residents.  In addition, Staff will be better able to disseminate information and to collaborate with Members of Council. Councillors will have the opportunity to access the Internet for gathering external information relevant to City business.</w:t>
      </w:r>
    </w:p>
    <w:p w14:paraId="3F62CF99" w14:textId="77777777" w:rsidR="0090099E" w:rsidRPr="00C74F14" w:rsidRDefault="0090099E" w:rsidP="00C74F14">
      <w:pPr>
        <w:pStyle w:val="Heading1"/>
        <w:rPr>
          <w:color w:val="002060"/>
        </w:rPr>
      </w:pPr>
      <w:r w:rsidRPr="00C74F14">
        <w:rPr>
          <w:color w:val="002060"/>
        </w:rPr>
        <w:t>Scope:</w:t>
      </w:r>
    </w:p>
    <w:p w14:paraId="4CC2F8FF" w14:textId="77777777" w:rsidR="00C74F14" w:rsidRPr="00C74F14" w:rsidRDefault="00C74F14" w:rsidP="00C74F14">
      <w:pPr>
        <w:rPr>
          <w:rFonts w:cs="Arial"/>
        </w:rPr>
      </w:pPr>
      <w:r w:rsidRPr="00C74F14">
        <w:rPr>
          <w:rFonts w:cs="Arial"/>
        </w:rPr>
        <w:t>This policy applies to all Members of the Council of the Corporation of The City of Kawartha Lakes while serving their respective elected or appointed full terms.</w:t>
      </w:r>
    </w:p>
    <w:p w14:paraId="6ED7355C" w14:textId="77777777" w:rsidR="004B540D" w:rsidRPr="004B540D" w:rsidRDefault="004B540D" w:rsidP="004B540D">
      <w:pPr>
        <w:keepNext/>
        <w:keepLines/>
        <w:spacing w:before="200"/>
        <w:outlineLvl w:val="1"/>
        <w:rPr>
          <w:rFonts w:eastAsiaTheme="majorEastAsia" w:cs="Arial"/>
          <w:b/>
          <w:bCs/>
          <w:color w:val="002060"/>
          <w:lang w:val="en-CA"/>
        </w:rPr>
      </w:pPr>
      <w:r w:rsidRPr="004B540D">
        <w:rPr>
          <w:rFonts w:eastAsiaTheme="majorEastAsia" w:cs="Arial"/>
          <w:b/>
          <w:bCs/>
          <w:color w:val="002060"/>
          <w:lang w:val="en-CA"/>
        </w:rPr>
        <w:t>Definitions:</w:t>
      </w:r>
    </w:p>
    <w:p w14:paraId="51270BBF" w14:textId="77777777" w:rsidR="00C74F14" w:rsidRPr="00C74F14" w:rsidRDefault="00C74F14" w:rsidP="00C74F14">
      <w:pPr>
        <w:rPr>
          <w:rFonts w:cs="Arial"/>
        </w:rPr>
      </w:pPr>
      <w:r w:rsidRPr="00C74F14">
        <w:rPr>
          <w:rFonts w:cs="Arial"/>
        </w:rPr>
        <w:t>“Cellular Phone” shall mean a Mobile Hardware device for which a mobile operating system is not utilized.</w:t>
      </w:r>
    </w:p>
    <w:p w14:paraId="61FA8C01" w14:textId="77777777" w:rsidR="00C74F14" w:rsidRPr="00C74F14" w:rsidRDefault="00C74F14" w:rsidP="00C74F14">
      <w:pPr>
        <w:rPr>
          <w:rFonts w:cs="Arial"/>
        </w:rPr>
      </w:pPr>
      <w:r w:rsidRPr="00C74F14">
        <w:rPr>
          <w:rFonts w:cs="Arial"/>
        </w:rPr>
        <w:t>“Cellular Services” shall mean the delivery of wireless voice and/or data services to Mobile Hardware by way of a Mobile Provider.</w:t>
      </w:r>
    </w:p>
    <w:p w14:paraId="63D9F899" w14:textId="77777777" w:rsidR="00B155A8" w:rsidRDefault="00C74F14" w:rsidP="00C74F14">
      <w:pPr>
        <w:rPr>
          <w:rFonts w:cs="Arial"/>
        </w:rPr>
      </w:pPr>
      <w:r w:rsidRPr="00C74F14">
        <w:rPr>
          <w:rFonts w:cs="Arial"/>
        </w:rPr>
        <w:t>“Computer Hardware” shall mean a laptop.</w:t>
      </w:r>
    </w:p>
    <w:p w14:paraId="3C22F78C" w14:textId="77777777" w:rsidR="00B155A8" w:rsidRPr="00C74F14" w:rsidRDefault="00B155A8" w:rsidP="00C74F14">
      <w:pPr>
        <w:rPr>
          <w:rFonts w:cs="Arial"/>
        </w:rPr>
      </w:pPr>
      <w:r>
        <w:rPr>
          <w:rFonts w:cs="Arial"/>
        </w:rPr>
        <w:lastRenderedPageBreak/>
        <w:t xml:space="preserve">“Computer Software” shall mean software installed by </w:t>
      </w:r>
      <w:r w:rsidR="00441B53">
        <w:rPr>
          <w:rFonts w:cs="Arial"/>
        </w:rPr>
        <w:t xml:space="preserve">the </w:t>
      </w:r>
      <w:r>
        <w:rPr>
          <w:rFonts w:cs="Arial"/>
        </w:rPr>
        <w:t>Information Technology Division on Computer Hardware.</w:t>
      </w:r>
    </w:p>
    <w:p w14:paraId="247F9A44" w14:textId="77777777" w:rsidR="00C74F14" w:rsidRPr="00C74F14" w:rsidRDefault="00C74F14" w:rsidP="00C74F14">
      <w:pPr>
        <w:rPr>
          <w:rFonts w:cs="Arial"/>
        </w:rPr>
      </w:pPr>
      <w:r w:rsidRPr="00C74F14">
        <w:rPr>
          <w:rFonts w:cs="Arial"/>
        </w:rPr>
        <w:t>“Consumables” shall mean ink or toner for use in Printing Hardware.</w:t>
      </w:r>
    </w:p>
    <w:p w14:paraId="4E4DE577" w14:textId="77777777" w:rsidR="00C74F14" w:rsidRPr="00C74F14" w:rsidRDefault="00C74F14" w:rsidP="00C74F14">
      <w:pPr>
        <w:rPr>
          <w:rFonts w:cs="Arial"/>
        </w:rPr>
      </w:pPr>
      <w:r w:rsidRPr="00C74F14">
        <w:rPr>
          <w:rFonts w:cs="Arial"/>
        </w:rPr>
        <w:t>“Information Services” shall mean technology services provided by the City including e-mail services and remote access services.</w:t>
      </w:r>
    </w:p>
    <w:p w14:paraId="1D68DA01" w14:textId="77777777" w:rsidR="00C74F14" w:rsidRPr="00C74F14" w:rsidRDefault="00C74F14" w:rsidP="00C74F14">
      <w:pPr>
        <w:rPr>
          <w:rFonts w:cs="Arial"/>
        </w:rPr>
      </w:pPr>
      <w:r w:rsidRPr="00C74F14">
        <w:rPr>
          <w:rFonts w:cs="Arial"/>
        </w:rPr>
        <w:t>“Internet Services” shall mean the delivery of Internet connectivity to a Councillor’s primary residence.</w:t>
      </w:r>
    </w:p>
    <w:p w14:paraId="5A800EAF" w14:textId="77777777" w:rsidR="00C74F14" w:rsidRPr="00C74F14" w:rsidRDefault="00C74F14" w:rsidP="00C74F14">
      <w:pPr>
        <w:rPr>
          <w:rFonts w:cs="Arial"/>
        </w:rPr>
      </w:pPr>
      <w:r w:rsidRPr="00C74F14">
        <w:rPr>
          <w:rFonts w:cs="Arial"/>
        </w:rPr>
        <w:t>“IT Service Desk” shall mean the established and defined day-to-day contact point for Councillors and staff with the Information Technology Division and the service provided therein.</w:t>
      </w:r>
    </w:p>
    <w:p w14:paraId="7DC043DC" w14:textId="77777777" w:rsidR="00C74F14" w:rsidRPr="00C74F14" w:rsidRDefault="00C74F14" w:rsidP="00C74F14">
      <w:pPr>
        <w:rPr>
          <w:rFonts w:cs="Arial"/>
        </w:rPr>
      </w:pPr>
      <w:r w:rsidRPr="00C74F14">
        <w:rPr>
          <w:rFonts w:cs="Arial"/>
        </w:rPr>
        <w:t>“Mobile Hardware” shall mean a cellular connected device such as a Smart Phone or Cellular Phone.</w:t>
      </w:r>
    </w:p>
    <w:p w14:paraId="53F84B87" w14:textId="77777777" w:rsidR="00C74F14" w:rsidRPr="00C74F14" w:rsidRDefault="00C74F14" w:rsidP="00C74F14">
      <w:pPr>
        <w:rPr>
          <w:rFonts w:cs="Arial"/>
        </w:rPr>
      </w:pPr>
      <w:r w:rsidRPr="00C74F14">
        <w:rPr>
          <w:rFonts w:cs="Arial"/>
        </w:rPr>
        <w:t>“Network Hardware” shall mean modems, routers, antennas, cabling and any other device utilized in providing Internet Services.</w:t>
      </w:r>
    </w:p>
    <w:p w14:paraId="77765694" w14:textId="77777777" w:rsidR="00C74F14" w:rsidRPr="00C74F14" w:rsidRDefault="00C74F14" w:rsidP="00C74F14">
      <w:pPr>
        <w:rPr>
          <w:rFonts w:cs="Arial"/>
        </w:rPr>
      </w:pPr>
      <w:r w:rsidRPr="00C74F14">
        <w:rPr>
          <w:rFonts w:cs="Arial"/>
        </w:rPr>
        <w:t>“Printing Hardware” shall mean a device capable of providing print services.</w:t>
      </w:r>
    </w:p>
    <w:p w14:paraId="11E4521F" w14:textId="77777777" w:rsidR="00C74F14" w:rsidRPr="00C74F14" w:rsidRDefault="00C74F14" w:rsidP="00C74F14">
      <w:pPr>
        <w:rPr>
          <w:rFonts w:cs="Arial"/>
        </w:rPr>
      </w:pPr>
      <w:r w:rsidRPr="00C74F14">
        <w:rPr>
          <w:rFonts w:cs="Arial"/>
        </w:rPr>
        <w:t xml:space="preserve">“Smart Phone” shall mean a Mobile Hardware device for which a mobile operating system is utilized (e.g. </w:t>
      </w:r>
      <w:r w:rsidR="00864896">
        <w:rPr>
          <w:rFonts w:cs="Arial"/>
        </w:rPr>
        <w:t>i</w:t>
      </w:r>
      <w:r w:rsidR="00864896" w:rsidRPr="00C74F14">
        <w:rPr>
          <w:rFonts w:cs="Arial"/>
        </w:rPr>
        <w:t xml:space="preserve">OS </w:t>
      </w:r>
      <w:r w:rsidRPr="00C74F14">
        <w:rPr>
          <w:rFonts w:cs="Arial"/>
        </w:rPr>
        <w:t>(iPhone), Android).</w:t>
      </w:r>
    </w:p>
    <w:p w14:paraId="7F2F2788" w14:textId="77777777" w:rsidR="00C74F14" w:rsidRPr="00C74F14" w:rsidRDefault="00C74F14" w:rsidP="00C74F14">
      <w:pPr>
        <w:rPr>
          <w:rFonts w:cs="Arial"/>
        </w:rPr>
      </w:pPr>
      <w:r w:rsidRPr="00C74F14">
        <w:rPr>
          <w:rFonts w:cs="Arial"/>
        </w:rPr>
        <w:t>“Support Services” shall mean maintenance or support for Mobile Hardware, Printing Hardware and Network Hardware.</w:t>
      </w:r>
    </w:p>
    <w:p w14:paraId="4F0C760E" w14:textId="77777777" w:rsidR="0090099E" w:rsidRDefault="0090099E" w:rsidP="00AC4A09">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w:t>
      </w:r>
    </w:p>
    <w:p w14:paraId="2C19D56C" w14:textId="77777777" w:rsidR="00C74F14" w:rsidRPr="00C74F14" w:rsidRDefault="00C74F14" w:rsidP="00C74F14">
      <w:pPr>
        <w:keepNext/>
        <w:keepLines/>
        <w:outlineLvl w:val="1"/>
        <w:rPr>
          <w:rFonts w:eastAsiaTheme="majorEastAsia" w:cstheme="majorBidi"/>
          <w:b/>
          <w:bCs/>
          <w:szCs w:val="26"/>
        </w:rPr>
      </w:pPr>
      <w:r w:rsidRPr="00C74F14">
        <w:rPr>
          <w:rFonts w:eastAsiaTheme="majorEastAsia" w:cstheme="majorBidi"/>
          <w:b/>
          <w:bCs/>
          <w:szCs w:val="26"/>
        </w:rPr>
        <w:t>1.0</w:t>
      </w:r>
      <w:r w:rsidRPr="00C74F14">
        <w:rPr>
          <w:rFonts w:eastAsiaTheme="majorEastAsia" w:cstheme="majorBidi"/>
          <w:b/>
          <w:bCs/>
          <w:szCs w:val="26"/>
        </w:rPr>
        <w:tab/>
        <w:t>Provision of Hardware and Services at the Beginning of Council Term</w:t>
      </w:r>
    </w:p>
    <w:p w14:paraId="761D5E02" w14:textId="77777777" w:rsidR="00C74F14" w:rsidRPr="00C74F14" w:rsidRDefault="00C74F14" w:rsidP="00C74F14">
      <w:pPr>
        <w:ind w:left="720" w:hanging="720"/>
        <w:rPr>
          <w:rFonts w:cs="Arial"/>
        </w:rPr>
      </w:pPr>
      <w:r w:rsidRPr="00C74F14">
        <w:rPr>
          <w:rFonts w:cs="Arial"/>
        </w:rPr>
        <w:t>1.01</w:t>
      </w:r>
      <w:r w:rsidRPr="00C74F14">
        <w:rPr>
          <w:rFonts w:cs="Arial"/>
        </w:rPr>
        <w:tab/>
        <w:t xml:space="preserve">At the beginning of each term of Council all Councillors will </w:t>
      </w:r>
      <w:r w:rsidR="00CB7860">
        <w:rPr>
          <w:rFonts w:cs="Arial"/>
        </w:rPr>
        <w:t>be be provided with</w:t>
      </w:r>
      <w:r w:rsidRPr="00C74F14">
        <w:rPr>
          <w:rFonts w:cs="Arial"/>
        </w:rPr>
        <w:t xml:space="preserve"> Computer Hardware. </w:t>
      </w:r>
    </w:p>
    <w:p w14:paraId="5FAC6165" w14:textId="77777777" w:rsidR="00C74F14" w:rsidRPr="00C74F14" w:rsidRDefault="00C74F14" w:rsidP="00C74F14">
      <w:pPr>
        <w:ind w:left="720" w:hanging="720"/>
        <w:rPr>
          <w:rFonts w:cs="Arial"/>
        </w:rPr>
      </w:pPr>
      <w:r w:rsidRPr="00C74F14">
        <w:rPr>
          <w:rFonts w:cs="Arial"/>
        </w:rPr>
        <w:t>1.02</w:t>
      </w:r>
      <w:r w:rsidRPr="00C74F14">
        <w:rPr>
          <w:rFonts w:cs="Arial"/>
        </w:rPr>
        <w:tab/>
        <w:t>It will be the responsibility of individual Councillors to make the necessary arrangements for the acquisition of any Printing Hardware required for printing at their place of residence. The City will reimburse the one-time cost of acquiring necessary Printing Hardware and a yearly allowance for the purchase of replacement Consumables up to the maximum allotment as detailed in Appendix 1. Councillors will provide the Mayor’s office with all relevant receipts related to the acquisition of Printer Hardware and Consumables. Councillors are free to purchase Printer Hardware of their choosing. Paper will be provided to the Councillors by the Clerk’s office.</w:t>
      </w:r>
    </w:p>
    <w:p w14:paraId="73214478" w14:textId="77777777" w:rsidR="00C74F14" w:rsidRPr="00C74F14" w:rsidRDefault="00C74F14" w:rsidP="00C74F14">
      <w:pPr>
        <w:ind w:left="720" w:hanging="720"/>
        <w:rPr>
          <w:rFonts w:cs="Arial"/>
        </w:rPr>
      </w:pPr>
      <w:r w:rsidRPr="00C74F14">
        <w:rPr>
          <w:rFonts w:cs="Arial"/>
        </w:rPr>
        <w:lastRenderedPageBreak/>
        <w:t>1.03</w:t>
      </w:r>
      <w:r w:rsidRPr="00C74F14">
        <w:rPr>
          <w:rFonts w:cs="Arial"/>
        </w:rPr>
        <w:tab/>
        <w:t>It will be the responsibility of individual Councillors to make the necessary arrangements for the installation and payment of required Internet Services at their place of residence. The City will reimburse any one-time cost for Network Hardware and recurring costs for Internet Services up to the maximum allotment as detailed in Appendix 1. Councillors will provide the Mayor’s office with all relevant receipts related to the purchase of Network Hardware and recurring costs associated with Internet Services at the Councillor’s place of residence.</w:t>
      </w:r>
    </w:p>
    <w:p w14:paraId="5E4C9532" w14:textId="77777777" w:rsidR="00C74F14" w:rsidRPr="00C74F14" w:rsidRDefault="00C74F14" w:rsidP="00C74F14">
      <w:pPr>
        <w:ind w:left="720" w:hanging="720"/>
        <w:rPr>
          <w:rFonts w:cs="Arial"/>
        </w:rPr>
      </w:pPr>
      <w:r w:rsidRPr="00C74F14">
        <w:rPr>
          <w:rFonts w:cs="Arial"/>
        </w:rPr>
        <w:t>1.04</w:t>
      </w:r>
      <w:r w:rsidRPr="00C74F14">
        <w:rPr>
          <w:rFonts w:cs="Arial"/>
        </w:rPr>
        <w:tab/>
        <w:t>It will be the responsibility of individual Councillors to make the necessary arrangements for the acquisition and payment of required Mobile Hardware and Cellular Services. The City will reimburse the one-time cost of acquiring the necessary Mobile Hardware and recurring costs for Cellular Services up to the maximum allotment as detailed in Appendix 1. Councillors will provide the Mayor’s office with all relevant receipts related to the purchase of Mobile Hardware and recurring costs for Cellular Services. Councillors are free to purchase Mobile Hardware of their choosing. It is the recommendation of the Information Technology Division that Members of Council outright purchase Mobile Hardware as opposed to entering into binding contracts that bundle in the cost of the Mobile Hardware as the former greatly reduces the overall cost during a term of Council.</w:t>
      </w:r>
    </w:p>
    <w:p w14:paraId="3B0484B1" w14:textId="77777777" w:rsidR="00C74F14" w:rsidRPr="00C74F14" w:rsidRDefault="00C74F14" w:rsidP="009C052E">
      <w:pPr>
        <w:ind w:left="720" w:hanging="720"/>
        <w:rPr>
          <w:rFonts w:cs="Arial"/>
        </w:rPr>
      </w:pPr>
      <w:r w:rsidRPr="00C74F14">
        <w:rPr>
          <w:rFonts w:cs="Arial"/>
        </w:rPr>
        <w:t>1.05</w:t>
      </w:r>
      <w:r w:rsidRPr="00C74F14">
        <w:rPr>
          <w:rFonts w:cs="Arial"/>
        </w:rPr>
        <w:tab/>
        <w:t>In the event that an individual Member of Council requires Internet Services or Cellular Services that exceed the maximum allotment as detailed in Appendix 1 the Mayor will, at the request of the Councillor review the proposed services along with their associated costs. Based on that review the Mayor will decide if an exception will be made, due to unique circumstances, to reimburse the Councillor beyond the maximum allotment as detailed in Appendix 1.</w:t>
      </w:r>
    </w:p>
    <w:p w14:paraId="376358DC" w14:textId="77777777" w:rsidR="00C74F14" w:rsidRPr="00C74F14" w:rsidRDefault="00C74F14" w:rsidP="00C74F14">
      <w:pPr>
        <w:keepNext/>
        <w:keepLines/>
        <w:outlineLvl w:val="1"/>
        <w:rPr>
          <w:rFonts w:eastAsiaTheme="majorEastAsia" w:cstheme="majorBidi"/>
          <w:b/>
          <w:bCs/>
          <w:szCs w:val="26"/>
        </w:rPr>
      </w:pPr>
      <w:r w:rsidRPr="00C74F14">
        <w:rPr>
          <w:rFonts w:eastAsiaTheme="majorEastAsia" w:cstheme="majorBidi"/>
          <w:b/>
          <w:bCs/>
          <w:szCs w:val="26"/>
        </w:rPr>
        <w:t>2.0</w:t>
      </w:r>
      <w:r w:rsidRPr="00C74F14">
        <w:rPr>
          <w:rFonts w:eastAsiaTheme="majorEastAsia" w:cstheme="majorBidi"/>
          <w:b/>
          <w:bCs/>
          <w:szCs w:val="26"/>
        </w:rPr>
        <w:tab/>
        <w:t>Use and Support of Hardware, Software and Services</w:t>
      </w:r>
    </w:p>
    <w:p w14:paraId="7954D299" w14:textId="77777777" w:rsidR="00C74F14" w:rsidRPr="00C74F14" w:rsidRDefault="00C74F14" w:rsidP="00C74F14">
      <w:pPr>
        <w:ind w:left="720" w:hanging="720"/>
        <w:rPr>
          <w:rFonts w:cs="Arial"/>
        </w:rPr>
      </w:pPr>
      <w:r w:rsidRPr="00C74F14">
        <w:rPr>
          <w:rFonts w:cs="Arial"/>
        </w:rPr>
        <w:t>2.01</w:t>
      </w:r>
      <w:r w:rsidRPr="00C74F14">
        <w:rPr>
          <w:rFonts w:cs="Arial"/>
        </w:rPr>
        <w:tab/>
        <w:t>The Information Technology Division will communicate to Councillors via the Mayor’s Office the procedures for obtaining support when technical problems occur with Information Services.</w:t>
      </w:r>
    </w:p>
    <w:p w14:paraId="46204040" w14:textId="77777777" w:rsidR="00C74F14" w:rsidRPr="00C74F14" w:rsidRDefault="00C74F14" w:rsidP="00C74F14">
      <w:pPr>
        <w:ind w:left="720" w:hanging="720"/>
        <w:rPr>
          <w:rFonts w:cs="Arial"/>
        </w:rPr>
      </w:pPr>
      <w:r w:rsidRPr="00C74F14">
        <w:rPr>
          <w:rFonts w:cs="Arial"/>
        </w:rPr>
        <w:t>2.02</w:t>
      </w:r>
      <w:r w:rsidRPr="00C74F14">
        <w:rPr>
          <w:rFonts w:cs="Arial"/>
        </w:rPr>
        <w:tab/>
        <w:t>Should technical problems occur with Information Services</w:t>
      </w:r>
      <w:r w:rsidR="00BB3F7D">
        <w:rPr>
          <w:rFonts w:cs="Arial"/>
        </w:rPr>
        <w:t>,</w:t>
      </w:r>
      <w:r w:rsidRPr="00C74F14">
        <w:rPr>
          <w:rFonts w:cs="Arial"/>
        </w:rPr>
        <w:t xml:space="preserve"> </w:t>
      </w:r>
      <w:r w:rsidR="00CB7860">
        <w:rPr>
          <w:rFonts w:cs="Arial"/>
        </w:rPr>
        <w:t>Computer Hardware</w:t>
      </w:r>
      <w:r w:rsidR="00BB3F7D">
        <w:rPr>
          <w:rFonts w:cs="Arial"/>
        </w:rPr>
        <w:t xml:space="preserve"> or Computer Software</w:t>
      </w:r>
      <w:r w:rsidR="00CB7860">
        <w:rPr>
          <w:rFonts w:cs="Arial"/>
        </w:rPr>
        <w:t xml:space="preserve"> </w:t>
      </w:r>
      <w:r w:rsidRPr="00C74F14">
        <w:rPr>
          <w:rFonts w:cs="Arial"/>
        </w:rPr>
        <w:t xml:space="preserve">the Information Technology Division will be responsible for providing assistance and resolution to the identified issues. The Information Technology Division will provide assistance via the IT Service Desk in the form of </w:t>
      </w:r>
      <w:r w:rsidR="00314F6D">
        <w:rPr>
          <w:rFonts w:cs="Arial"/>
        </w:rPr>
        <w:t xml:space="preserve">web portal (Self Service), </w:t>
      </w:r>
      <w:r w:rsidRPr="00C74F14">
        <w:rPr>
          <w:rFonts w:cs="Arial"/>
        </w:rPr>
        <w:t>email, phone or at the IT Suite located in City Hall.</w:t>
      </w:r>
    </w:p>
    <w:p w14:paraId="5E4DBD13" w14:textId="77777777" w:rsidR="00C74F14" w:rsidRPr="00C74F14" w:rsidRDefault="00C74F14" w:rsidP="00C74F14">
      <w:pPr>
        <w:ind w:left="720" w:hanging="720"/>
        <w:rPr>
          <w:rFonts w:cs="Arial"/>
        </w:rPr>
      </w:pPr>
      <w:r w:rsidRPr="00C74F14">
        <w:rPr>
          <w:rFonts w:cs="Arial"/>
        </w:rPr>
        <w:t>2.03</w:t>
      </w:r>
      <w:r w:rsidRPr="00C74F14">
        <w:rPr>
          <w:rFonts w:cs="Arial"/>
        </w:rPr>
        <w:tab/>
        <w:t xml:space="preserve">The Information Technology Division will not be responsible to provide Support Services. It is the responsibility of the individual Member of Council to obtain and coordinate any Support Services required from service providers, manufacturers or other third parties. The City will reimburse the Support Services costs up to the </w:t>
      </w:r>
      <w:r w:rsidRPr="00C74F14">
        <w:rPr>
          <w:rFonts w:cs="Arial"/>
        </w:rPr>
        <w:lastRenderedPageBreak/>
        <w:t>maximum allotment as detailed in Appendix 1. Councillors will provide the Mayor’s Office with all relevant receipts related to the Support Services.</w:t>
      </w:r>
    </w:p>
    <w:p w14:paraId="675B7C55" w14:textId="77777777" w:rsidR="00C74F14" w:rsidRPr="00C74F14" w:rsidRDefault="00C74F14" w:rsidP="00C74F14">
      <w:pPr>
        <w:keepNext/>
        <w:keepLines/>
        <w:outlineLvl w:val="1"/>
        <w:rPr>
          <w:rFonts w:eastAsiaTheme="majorEastAsia" w:cstheme="majorBidi"/>
          <w:b/>
          <w:bCs/>
          <w:szCs w:val="26"/>
        </w:rPr>
      </w:pPr>
      <w:r w:rsidRPr="00C74F14">
        <w:rPr>
          <w:rFonts w:eastAsiaTheme="majorEastAsia" w:cstheme="majorBidi"/>
          <w:b/>
          <w:bCs/>
          <w:szCs w:val="26"/>
        </w:rPr>
        <w:t>3.0</w:t>
      </w:r>
      <w:r w:rsidRPr="00C74F14">
        <w:rPr>
          <w:rFonts w:eastAsiaTheme="majorEastAsia" w:cstheme="majorBidi"/>
          <w:b/>
          <w:bCs/>
          <w:szCs w:val="26"/>
        </w:rPr>
        <w:tab/>
        <w:t>Budgeting</w:t>
      </w:r>
    </w:p>
    <w:p w14:paraId="3BBDC170" w14:textId="77777777" w:rsidR="00C74F14" w:rsidRDefault="00C74F14" w:rsidP="00C74F14">
      <w:pPr>
        <w:ind w:left="720" w:hanging="720"/>
        <w:rPr>
          <w:rFonts w:cs="Arial"/>
        </w:rPr>
      </w:pPr>
      <w:r w:rsidRPr="00C74F14">
        <w:rPr>
          <w:rFonts w:cs="Arial"/>
        </w:rPr>
        <w:t>3.01</w:t>
      </w:r>
      <w:r w:rsidRPr="00C74F14">
        <w:rPr>
          <w:rFonts w:cs="Arial"/>
        </w:rPr>
        <w:tab/>
        <w:t xml:space="preserve">A sufficient Capital Budget will be established to provide allotments for </w:t>
      </w:r>
      <w:r w:rsidR="00742555">
        <w:rPr>
          <w:rFonts w:cs="Arial"/>
        </w:rPr>
        <w:t xml:space="preserve">the purchase of Computer Harware and for the </w:t>
      </w:r>
      <w:r w:rsidRPr="00C74F14">
        <w:rPr>
          <w:rFonts w:cs="Arial"/>
        </w:rPr>
        <w:t>reimbursement Mobile Hardware, Printing Hardware and Network Hardware.  This will be budgeted for by the Information Technology Division within the Capital Budget during budget deliberations in the year of the election.</w:t>
      </w:r>
    </w:p>
    <w:p w14:paraId="79B2C97D" w14:textId="77777777" w:rsidR="00742555" w:rsidRPr="00C74F14" w:rsidRDefault="00742555" w:rsidP="00C74F14">
      <w:pPr>
        <w:ind w:left="720" w:hanging="720"/>
        <w:rPr>
          <w:rFonts w:cs="Arial"/>
        </w:rPr>
      </w:pPr>
      <w:r>
        <w:rPr>
          <w:rFonts w:cs="Arial"/>
        </w:rPr>
        <w:t>3.02</w:t>
      </w:r>
      <w:r>
        <w:rPr>
          <w:rFonts w:cs="Arial"/>
        </w:rPr>
        <w:tab/>
        <w:t>A sufficient Operating Budget will be established annually within the Information Technology Division budget for Computer Software.</w:t>
      </w:r>
    </w:p>
    <w:p w14:paraId="5AE8BE83" w14:textId="77777777" w:rsidR="00C74F14" w:rsidRPr="00C74F14" w:rsidRDefault="00C74F14" w:rsidP="00C74F14">
      <w:pPr>
        <w:ind w:left="720" w:hanging="720"/>
        <w:rPr>
          <w:rFonts w:cs="Arial"/>
        </w:rPr>
      </w:pPr>
      <w:r w:rsidRPr="00C74F14">
        <w:rPr>
          <w:rFonts w:cs="Arial"/>
        </w:rPr>
        <w:t>3.0</w:t>
      </w:r>
      <w:r w:rsidR="00D11EF9">
        <w:rPr>
          <w:rFonts w:cs="Arial"/>
        </w:rPr>
        <w:t>3</w:t>
      </w:r>
      <w:r w:rsidRPr="00C74F14">
        <w:rPr>
          <w:rFonts w:cs="Arial"/>
        </w:rPr>
        <w:tab/>
        <w:t>A sufficient Operating Budget will be established annually within the Mayor and Council budget for Internet Services, Cellular Services, Support Services and Consumables.</w:t>
      </w:r>
    </w:p>
    <w:p w14:paraId="2DE19C68" w14:textId="77777777" w:rsidR="00C74F14" w:rsidRPr="00C74F14" w:rsidRDefault="00C74F14" w:rsidP="00C74F14">
      <w:pPr>
        <w:ind w:left="720" w:hanging="720"/>
        <w:rPr>
          <w:rFonts w:cs="Arial"/>
        </w:rPr>
      </w:pPr>
      <w:r w:rsidRPr="00C74F14">
        <w:rPr>
          <w:rFonts w:cs="Arial"/>
        </w:rPr>
        <w:t>3.0</w:t>
      </w:r>
      <w:r w:rsidR="00D11EF9">
        <w:rPr>
          <w:rFonts w:cs="Arial"/>
        </w:rPr>
        <w:t>4</w:t>
      </w:r>
      <w:r w:rsidRPr="00C74F14">
        <w:rPr>
          <w:rFonts w:cs="Arial"/>
        </w:rPr>
        <w:tab/>
        <w:t>Items included in Section 3.0 are considered to be a City expense in providing members of Council with the tools to conduct their duties. They will not be included in the annual Statement of Remuneration and Expenses in accordance with Section 284 of the Municipal Act.</w:t>
      </w:r>
    </w:p>
    <w:p w14:paraId="4339FC13" w14:textId="77777777" w:rsidR="00C74F14" w:rsidRPr="00C74F14" w:rsidRDefault="00C74F14" w:rsidP="00C74F14">
      <w:pPr>
        <w:keepNext/>
        <w:keepLines/>
        <w:outlineLvl w:val="1"/>
        <w:rPr>
          <w:rFonts w:eastAsiaTheme="majorEastAsia" w:cstheme="majorBidi"/>
          <w:b/>
          <w:bCs/>
          <w:szCs w:val="26"/>
        </w:rPr>
      </w:pPr>
      <w:r w:rsidRPr="00C74F14">
        <w:rPr>
          <w:rFonts w:eastAsiaTheme="majorEastAsia" w:cstheme="majorBidi"/>
          <w:b/>
          <w:bCs/>
          <w:szCs w:val="26"/>
        </w:rPr>
        <w:t>4.0</w:t>
      </w:r>
      <w:r w:rsidRPr="00C74F14">
        <w:rPr>
          <w:rFonts w:eastAsiaTheme="majorEastAsia" w:cstheme="majorBidi"/>
          <w:b/>
          <w:bCs/>
          <w:szCs w:val="26"/>
        </w:rPr>
        <w:tab/>
        <w:t>Return or Purchase of Council Computer Hardware</w:t>
      </w:r>
    </w:p>
    <w:p w14:paraId="22884AE2" w14:textId="77777777" w:rsidR="00C74F14" w:rsidRPr="00C74F14" w:rsidRDefault="00C74F14" w:rsidP="00C74F14">
      <w:pPr>
        <w:ind w:left="720"/>
        <w:rPr>
          <w:rFonts w:cs="Arial"/>
        </w:rPr>
      </w:pPr>
      <w:r w:rsidRPr="00C74F14">
        <w:rPr>
          <w:rFonts w:cs="Arial"/>
        </w:rPr>
        <w:t>In the event that a Member of Council does not complete his or her full term of office, the departing Councillor must reimburse the City for their Computer Hardware, Mobile Hardware, Printing Hardware and Network Hardware at a depreciation rate of 25% per year calculated on a monthly basis based on the term served. The reimbursement of the identified hardware will take the form of a deduction from the Councillor’s final pay cheque with any remaining balance paid within 30 days as agreed to in the Purchase of Council Computer Hardware, Appendix 2. The Mayor’s Office may at its sole discretion waive the requirement to reimburse the City for the identified hardware.</w:t>
      </w:r>
      <w:r w:rsidR="00D11EF9">
        <w:rPr>
          <w:rFonts w:cs="Arial"/>
        </w:rPr>
        <w:t xml:space="preserve"> Before taking ownership of Computer Hardware it must be provided to the Information Technology Division to allow for the removal of Computer Software.</w:t>
      </w:r>
    </w:p>
    <w:p w14:paraId="61AD7BBE" w14:textId="77777777" w:rsidR="0090099E" w:rsidRP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Revision History:</w:t>
      </w:r>
    </w:p>
    <w:p w14:paraId="57711857" w14:textId="77777777" w:rsidR="0090099E" w:rsidRPr="006173E2" w:rsidRDefault="0090099E" w:rsidP="0090099E">
      <w:pPr>
        <w:keepNext/>
        <w:jc w:val="both"/>
        <w:rPr>
          <w:rFonts w:cs="Arial"/>
          <w:bCs/>
        </w:rPr>
      </w:pPr>
      <w:r w:rsidRPr="006173E2">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18"/>
        <w:gridCol w:w="3933"/>
        <w:gridCol w:w="2160"/>
      </w:tblGrid>
      <w:tr w:rsidR="0090099E" w:rsidRPr="006173E2" w14:paraId="0765628A" w14:textId="77777777" w:rsidTr="00FE48B2">
        <w:trPr>
          <w:trHeight w:val="485"/>
        </w:trPr>
        <w:tc>
          <w:tcPr>
            <w:tcW w:w="1217" w:type="dxa"/>
            <w:shd w:val="clear" w:color="auto" w:fill="auto"/>
            <w:vAlign w:val="center"/>
          </w:tcPr>
          <w:p w14:paraId="28BFA629" w14:textId="77777777" w:rsidR="0090099E" w:rsidRPr="006173E2" w:rsidRDefault="0090099E" w:rsidP="00FE48B2">
            <w:pPr>
              <w:jc w:val="center"/>
              <w:rPr>
                <w:rFonts w:cs="Arial"/>
                <w:b/>
                <w:bCs/>
              </w:rPr>
            </w:pPr>
            <w:r w:rsidRPr="006173E2">
              <w:rPr>
                <w:rFonts w:cs="Arial"/>
                <w:b/>
                <w:bCs/>
              </w:rPr>
              <w:t>Revision</w:t>
            </w:r>
          </w:p>
        </w:tc>
        <w:tc>
          <w:tcPr>
            <w:tcW w:w="970" w:type="dxa"/>
            <w:shd w:val="clear" w:color="auto" w:fill="auto"/>
            <w:vAlign w:val="center"/>
          </w:tcPr>
          <w:p w14:paraId="5B564397" w14:textId="77777777" w:rsidR="0090099E" w:rsidRPr="006173E2" w:rsidRDefault="0090099E" w:rsidP="00FE48B2">
            <w:pPr>
              <w:jc w:val="center"/>
              <w:rPr>
                <w:rFonts w:cs="Arial"/>
                <w:b/>
                <w:bCs/>
              </w:rPr>
            </w:pPr>
            <w:r w:rsidRPr="006173E2">
              <w:rPr>
                <w:rFonts w:cs="Arial"/>
                <w:b/>
                <w:bCs/>
              </w:rPr>
              <w:t>Date</w:t>
            </w:r>
          </w:p>
        </w:tc>
        <w:tc>
          <w:tcPr>
            <w:tcW w:w="3933" w:type="dxa"/>
            <w:shd w:val="clear" w:color="auto" w:fill="auto"/>
            <w:vAlign w:val="center"/>
          </w:tcPr>
          <w:p w14:paraId="176BE9C0" w14:textId="77777777" w:rsidR="0090099E" w:rsidRPr="00170791" w:rsidRDefault="00170791" w:rsidP="00FE48B2">
            <w:pPr>
              <w:jc w:val="cente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14:paraId="21F321D3" w14:textId="77777777" w:rsidR="0090099E" w:rsidRPr="006173E2" w:rsidRDefault="0090099E" w:rsidP="00FE48B2">
            <w:pPr>
              <w:jc w:val="center"/>
              <w:rPr>
                <w:rFonts w:cs="Arial"/>
                <w:b/>
                <w:bCs/>
              </w:rPr>
            </w:pPr>
            <w:r w:rsidRPr="006173E2">
              <w:rPr>
                <w:rFonts w:cs="Arial"/>
                <w:b/>
                <w:bCs/>
              </w:rPr>
              <w:t>Requested By</w:t>
            </w:r>
          </w:p>
        </w:tc>
      </w:tr>
      <w:tr w:rsidR="005D0020" w:rsidRPr="006173E2" w14:paraId="05262354" w14:textId="77777777" w:rsidTr="00FE48B2">
        <w:trPr>
          <w:trHeight w:val="432"/>
        </w:trPr>
        <w:tc>
          <w:tcPr>
            <w:tcW w:w="1217" w:type="dxa"/>
            <w:vAlign w:val="center"/>
          </w:tcPr>
          <w:p w14:paraId="5781F52A" w14:textId="77777777" w:rsidR="005D0020" w:rsidRPr="006173E2" w:rsidRDefault="005D0020" w:rsidP="00FE48B2">
            <w:pPr>
              <w:rPr>
                <w:rFonts w:cs="Arial"/>
              </w:rPr>
            </w:pPr>
            <w:r>
              <w:rPr>
                <w:rFonts w:cs="Arial"/>
              </w:rPr>
              <w:lastRenderedPageBreak/>
              <w:t>0.1</w:t>
            </w:r>
          </w:p>
        </w:tc>
        <w:tc>
          <w:tcPr>
            <w:tcW w:w="970" w:type="dxa"/>
            <w:vAlign w:val="center"/>
          </w:tcPr>
          <w:p w14:paraId="2FA72C78" w14:textId="77777777" w:rsidR="005D0020" w:rsidRDefault="005D0020" w:rsidP="00FE48B2">
            <w:pPr>
              <w:rPr>
                <w:rFonts w:cs="Arial"/>
              </w:rPr>
            </w:pPr>
            <w:r>
              <w:rPr>
                <w:rFonts w:cs="Arial"/>
              </w:rPr>
              <w:t>12/16/2022</w:t>
            </w:r>
          </w:p>
        </w:tc>
        <w:tc>
          <w:tcPr>
            <w:tcW w:w="3933" w:type="dxa"/>
            <w:vAlign w:val="center"/>
          </w:tcPr>
          <w:p w14:paraId="3B61B3C3" w14:textId="77777777" w:rsidR="005D0020" w:rsidRDefault="005D0020" w:rsidP="005E36F8">
            <w:pPr>
              <w:rPr>
                <w:rFonts w:cs="Arial"/>
              </w:rPr>
            </w:pPr>
            <w:r>
              <w:rPr>
                <w:rFonts w:cs="Arial"/>
              </w:rPr>
              <w:t xml:space="preserve">Updated to reflect City provided </w:t>
            </w:r>
            <w:r w:rsidR="005E36F8">
              <w:rPr>
                <w:rFonts w:cs="Arial"/>
              </w:rPr>
              <w:t>Computer Hardware, Computer Software</w:t>
            </w:r>
          </w:p>
        </w:tc>
        <w:tc>
          <w:tcPr>
            <w:tcW w:w="2160" w:type="dxa"/>
            <w:vAlign w:val="center"/>
          </w:tcPr>
          <w:p w14:paraId="2E3A1436" w14:textId="77777777" w:rsidR="005D0020" w:rsidRPr="006173E2" w:rsidRDefault="00BB1EF7" w:rsidP="00FE48B2">
            <w:pPr>
              <w:rPr>
                <w:rFonts w:cs="Arial"/>
              </w:rPr>
            </w:pPr>
            <w:r>
              <w:rPr>
                <w:rFonts w:cs="Arial"/>
              </w:rPr>
              <w:t>Staff</w:t>
            </w:r>
          </w:p>
        </w:tc>
      </w:tr>
      <w:tr w:rsidR="0090099E" w:rsidRPr="006173E2" w14:paraId="4AD835F7" w14:textId="77777777" w:rsidTr="00FE48B2">
        <w:trPr>
          <w:trHeight w:val="432"/>
        </w:trPr>
        <w:tc>
          <w:tcPr>
            <w:tcW w:w="1217" w:type="dxa"/>
            <w:vAlign w:val="center"/>
          </w:tcPr>
          <w:p w14:paraId="2325FA7A" w14:textId="77777777" w:rsidR="0090099E" w:rsidRPr="006173E2" w:rsidRDefault="0090099E" w:rsidP="00FE48B2">
            <w:pPr>
              <w:rPr>
                <w:rFonts w:cs="Arial"/>
              </w:rPr>
            </w:pPr>
            <w:r w:rsidRPr="006173E2">
              <w:rPr>
                <w:rFonts w:cs="Arial"/>
              </w:rPr>
              <w:t>0.0</w:t>
            </w:r>
          </w:p>
        </w:tc>
        <w:tc>
          <w:tcPr>
            <w:tcW w:w="970" w:type="dxa"/>
            <w:vAlign w:val="center"/>
          </w:tcPr>
          <w:p w14:paraId="0306CD33" w14:textId="77777777" w:rsidR="0090099E" w:rsidRPr="006173E2" w:rsidRDefault="00DC2655" w:rsidP="00FE48B2">
            <w:pPr>
              <w:rPr>
                <w:rFonts w:cs="Arial"/>
              </w:rPr>
            </w:pPr>
            <w:r>
              <w:rPr>
                <w:rFonts w:cs="Arial"/>
              </w:rPr>
              <w:t>01/20/2021</w:t>
            </w:r>
          </w:p>
        </w:tc>
        <w:tc>
          <w:tcPr>
            <w:tcW w:w="3933" w:type="dxa"/>
            <w:vAlign w:val="center"/>
          </w:tcPr>
          <w:p w14:paraId="36FADDD1" w14:textId="77777777" w:rsidR="0090099E" w:rsidRPr="006173E2" w:rsidRDefault="00DC2655" w:rsidP="00FE48B2">
            <w:pPr>
              <w:rPr>
                <w:rFonts w:cs="Arial"/>
              </w:rPr>
            </w:pPr>
            <w:r>
              <w:rPr>
                <w:rFonts w:cs="Arial"/>
              </w:rPr>
              <w:t>Updated Policy Template</w:t>
            </w:r>
          </w:p>
        </w:tc>
        <w:tc>
          <w:tcPr>
            <w:tcW w:w="2160" w:type="dxa"/>
            <w:vAlign w:val="center"/>
          </w:tcPr>
          <w:p w14:paraId="511C6EEC" w14:textId="77777777" w:rsidR="0090099E" w:rsidRPr="006173E2" w:rsidRDefault="0090099E" w:rsidP="00FE48B2">
            <w:pPr>
              <w:rPr>
                <w:rFonts w:cs="Arial"/>
              </w:rPr>
            </w:pPr>
          </w:p>
        </w:tc>
      </w:tr>
    </w:tbl>
    <w:p w14:paraId="639B2396" w14:textId="77777777" w:rsidR="001235C3" w:rsidRDefault="001235C3" w:rsidP="00226B10">
      <w:pPr>
        <w:rPr>
          <w:rFonts w:ascii="Tahoma" w:hAnsi="Tahoma" w:cs="Tahoma"/>
        </w:rPr>
      </w:pPr>
    </w:p>
    <w:p w14:paraId="51B1300C" w14:textId="77777777" w:rsidR="001235C3" w:rsidRDefault="001235C3">
      <w:pPr>
        <w:spacing w:before="0" w:after="200" w:line="276" w:lineRule="auto"/>
        <w:rPr>
          <w:rFonts w:ascii="Tahoma" w:hAnsi="Tahoma" w:cs="Tahoma"/>
        </w:rPr>
      </w:pPr>
      <w:r>
        <w:rPr>
          <w:rFonts w:ascii="Tahoma" w:hAnsi="Tahoma" w:cs="Tahoma"/>
        </w:rPr>
        <w:br w:type="page"/>
      </w:r>
    </w:p>
    <w:p w14:paraId="158D0E2F" w14:textId="77777777" w:rsidR="001235C3" w:rsidRPr="001235C3" w:rsidRDefault="001235C3" w:rsidP="001235C3">
      <w:pPr>
        <w:keepNext/>
        <w:keepLines/>
        <w:jc w:val="center"/>
        <w:outlineLvl w:val="0"/>
        <w:rPr>
          <w:rFonts w:eastAsiaTheme="majorEastAsia" w:cstheme="majorBidi"/>
          <w:b/>
          <w:bCs/>
          <w:sz w:val="28"/>
          <w:szCs w:val="28"/>
        </w:rPr>
      </w:pPr>
      <w:r w:rsidRPr="001235C3">
        <w:rPr>
          <w:rFonts w:eastAsiaTheme="majorEastAsia" w:cstheme="majorBidi"/>
          <w:b/>
          <w:bCs/>
          <w:sz w:val="28"/>
          <w:szCs w:val="28"/>
        </w:rPr>
        <w:lastRenderedPageBreak/>
        <w:t>Appendix 1</w:t>
      </w:r>
    </w:p>
    <w:tbl>
      <w:tblPr>
        <w:tblStyle w:val="TableGrid1"/>
        <w:tblW w:w="0" w:type="auto"/>
        <w:tblLook w:val="04A0" w:firstRow="1" w:lastRow="0" w:firstColumn="1" w:lastColumn="0" w:noHBand="0" w:noVBand="1"/>
        <w:tblCaption w:val="Appendix 1 to Council Computer Systems Policy"/>
        <w:tblDescription w:val="Appendix contains a table that reads left to right. The column on the left contains a description of the computer hardward and the column on the right contains the financial allotment."/>
      </w:tblPr>
      <w:tblGrid>
        <w:gridCol w:w="6749"/>
        <w:gridCol w:w="2601"/>
      </w:tblGrid>
      <w:tr w:rsidR="001235C3" w:rsidRPr="001235C3" w14:paraId="4A69FCE6" w14:textId="77777777" w:rsidTr="002663B5">
        <w:trPr>
          <w:tblHeader/>
        </w:trPr>
        <w:tc>
          <w:tcPr>
            <w:tcW w:w="6948" w:type="dxa"/>
            <w:tcBorders>
              <w:top w:val="single" w:sz="4" w:space="0" w:color="auto"/>
              <w:left w:val="single" w:sz="4" w:space="0" w:color="auto"/>
              <w:bottom w:val="single" w:sz="4" w:space="0" w:color="auto"/>
              <w:right w:val="single" w:sz="4" w:space="0" w:color="auto"/>
            </w:tcBorders>
            <w:hideMark/>
          </w:tcPr>
          <w:p w14:paraId="5F65E209" w14:textId="77777777" w:rsidR="001235C3" w:rsidRPr="001235C3" w:rsidRDefault="001235C3" w:rsidP="001235C3">
            <w:pPr>
              <w:spacing w:before="0" w:after="0"/>
              <w:rPr>
                <w:rFonts w:cs="Arial"/>
                <w:b/>
              </w:rPr>
            </w:pPr>
            <w:r w:rsidRPr="001235C3">
              <w:rPr>
                <w:rFonts w:cs="Arial"/>
                <w:b/>
              </w:rPr>
              <w:t>Description</w:t>
            </w:r>
          </w:p>
        </w:tc>
        <w:tc>
          <w:tcPr>
            <w:tcW w:w="2628" w:type="dxa"/>
            <w:tcBorders>
              <w:top w:val="single" w:sz="4" w:space="0" w:color="auto"/>
              <w:left w:val="single" w:sz="4" w:space="0" w:color="auto"/>
              <w:bottom w:val="single" w:sz="4" w:space="0" w:color="auto"/>
              <w:right w:val="single" w:sz="4" w:space="0" w:color="auto"/>
            </w:tcBorders>
            <w:hideMark/>
          </w:tcPr>
          <w:p w14:paraId="629D5F9D" w14:textId="77777777" w:rsidR="001235C3" w:rsidRPr="001235C3" w:rsidRDefault="001235C3" w:rsidP="001235C3">
            <w:pPr>
              <w:tabs>
                <w:tab w:val="decimal" w:pos="637"/>
              </w:tabs>
              <w:spacing w:before="0" w:after="0"/>
              <w:rPr>
                <w:rFonts w:cs="Arial"/>
                <w:b/>
              </w:rPr>
            </w:pPr>
            <w:r w:rsidRPr="001235C3">
              <w:rPr>
                <w:rFonts w:cs="Arial"/>
                <w:b/>
              </w:rPr>
              <w:t>Allotment ($)</w:t>
            </w:r>
          </w:p>
        </w:tc>
      </w:tr>
      <w:tr w:rsidR="001235C3" w:rsidRPr="001235C3" w14:paraId="237652B4" w14:textId="77777777" w:rsidTr="009C052E">
        <w:tc>
          <w:tcPr>
            <w:tcW w:w="6948" w:type="dxa"/>
            <w:tcBorders>
              <w:top w:val="single" w:sz="4" w:space="0" w:color="auto"/>
              <w:left w:val="single" w:sz="4" w:space="0" w:color="auto"/>
              <w:bottom w:val="single" w:sz="4" w:space="0" w:color="auto"/>
              <w:right w:val="single" w:sz="4" w:space="0" w:color="auto"/>
            </w:tcBorders>
          </w:tcPr>
          <w:p w14:paraId="5F17EEDA" w14:textId="77777777" w:rsidR="001235C3" w:rsidRPr="001235C3" w:rsidRDefault="001235C3" w:rsidP="001235C3">
            <w:pPr>
              <w:spacing w:before="0" w:after="0"/>
              <w:rPr>
                <w:rFonts w:cs="Arial"/>
              </w:rPr>
            </w:pPr>
          </w:p>
        </w:tc>
        <w:tc>
          <w:tcPr>
            <w:tcW w:w="2628" w:type="dxa"/>
            <w:tcBorders>
              <w:top w:val="single" w:sz="4" w:space="0" w:color="auto"/>
              <w:left w:val="single" w:sz="4" w:space="0" w:color="auto"/>
              <w:bottom w:val="single" w:sz="4" w:space="0" w:color="auto"/>
              <w:right w:val="single" w:sz="4" w:space="0" w:color="auto"/>
            </w:tcBorders>
          </w:tcPr>
          <w:p w14:paraId="3432FF3B" w14:textId="77777777" w:rsidR="001235C3" w:rsidRPr="001235C3" w:rsidRDefault="001235C3" w:rsidP="001235C3">
            <w:pPr>
              <w:tabs>
                <w:tab w:val="decimal" w:pos="637"/>
              </w:tabs>
              <w:spacing w:before="0" w:after="0"/>
              <w:rPr>
                <w:rFonts w:cs="Arial"/>
              </w:rPr>
            </w:pPr>
          </w:p>
        </w:tc>
      </w:tr>
      <w:tr w:rsidR="001235C3" w:rsidRPr="001235C3" w14:paraId="71C2FCB5" w14:textId="77777777" w:rsidTr="002663B5">
        <w:tc>
          <w:tcPr>
            <w:tcW w:w="6948" w:type="dxa"/>
            <w:tcBorders>
              <w:top w:val="single" w:sz="4" w:space="0" w:color="auto"/>
              <w:left w:val="single" w:sz="4" w:space="0" w:color="auto"/>
              <w:bottom w:val="single" w:sz="4" w:space="0" w:color="auto"/>
              <w:right w:val="single" w:sz="4" w:space="0" w:color="auto"/>
            </w:tcBorders>
            <w:hideMark/>
          </w:tcPr>
          <w:p w14:paraId="0D4F75D2" w14:textId="77777777" w:rsidR="001235C3" w:rsidRPr="001235C3" w:rsidRDefault="001235C3" w:rsidP="001235C3">
            <w:pPr>
              <w:spacing w:before="0" w:after="0"/>
              <w:rPr>
                <w:rFonts w:cs="Arial"/>
              </w:rPr>
            </w:pPr>
            <w:r w:rsidRPr="001235C3">
              <w:rPr>
                <w:rFonts w:cs="Arial"/>
              </w:rPr>
              <w:t>Mobile Hardware</w:t>
            </w:r>
          </w:p>
        </w:tc>
        <w:tc>
          <w:tcPr>
            <w:tcW w:w="2628" w:type="dxa"/>
            <w:tcBorders>
              <w:top w:val="single" w:sz="4" w:space="0" w:color="auto"/>
              <w:left w:val="single" w:sz="4" w:space="0" w:color="auto"/>
              <w:bottom w:val="single" w:sz="4" w:space="0" w:color="auto"/>
              <w:right w:val="single" w:sz="4" w:space="0" w:color="auto"/>
            </w:tcBorders>
            <w:hideMark/>
          </w:tcPr>
          <w:p w14:paraId="3C67B622" w14:textId="77777777" w:rsidR="001235C3" w:rsidRPr="001235C3" w:rsidRDefault="00787F24" w:rsidP="001235C3">
            <w:pPr>
              <w:tabs>
                <w:tab w:val="decimal" w:pos="637"/>
              </w:tabs>
              <w:spacing w:before="0" w:after="0"/>
              <w:rPr>
                <w:rFonts w:cs="Arial"/>
              </w:rPr>
            </w:pPr>
            <w:r>
              <w:rPr>
                <w:rFonts w:cs="Arial"/>
              </w:rPr>
              <w:t>8</w:t>
            </w:r>
            <w:r w:rsidR="001235C3" w:rsidRPr="001235C3">
              <w:rPr>
                <w:rFonts w:cs="Arial"/>
              </w:rPr>
              <w:t>00.00/term</w:t>
            </w:r>
          </w:p>
        </w:tc>
      </w:tr>
      <w:tr w:rsidR="001235C3" w:rsidRPr="001235C3" w14:paraId="3E8A1F94" w14:textId="77777777" w:rsidTr="002663B5">
        <w:tc>
          <w:tcPr>
            <w:tcW w:w="6948" w:type="dxa"/>
            <w:tcBorders>
              <w:top w:val="single" w:sz="4" w:space="0" w:color="auto"/>
              <w:left w:val="single" w:sz="4" w:space="0" w:color="auto"/>
              <w:bottom w:val="single" w:sz="4" w:space="0" w:color="auto"/>
              <w:right w:val="single" w:sz="4" w:space="0" w:color="auto"/>
            </w:tcBorders>
            <w:hideMark/>
          </w:tcPr>
          <w:p w14:paraId="60659B19" w14:textId="77777777" w:rsidR="001235C3" w:rsidRPr="001235C3" w:rsidRDefault="001235C3" w:rsidP="001235C3">
            <w:pPr>
              <w:spacing w:before="0" w:after="0"/>
              <w:rPr>
                <w:rFonts w:cs="Arial"/>
              </w:rPr>
            </w:pPr>
            <w:r w:rsidRPr="001235C3">
              <w:rPr>
                <w:rFonts w:cs="Arial"/>
              </w:rPr>
              <w:t>Network Hardware</w:t>
            </w:r>
          </w:p>
        </w:tc>
        <w:tc>
          <w:tcPr>
            <w:tcW w:w="2628" w:type="dxa"/>
            <w:tcBorders>
              <w:top w:val="single" w:sz="4" w:space="0" w:color="auto"/>
              <w:left w:val="single" w:sz="4" w:space="0" w:color="auto"/>
              <w:bottom w:val="single" w:sz="4" w:space="0" w:color="auto"/>
              <w:right w:val="single" w:sz="4" w:space="0" w:color="auto"/>
            </w:tcBorders>
            <w:hideMark/>
          </w:tcPr>
          <w:p w14:paraId="34FBE4ED" w14:textId="77777777" w:rsidR="001235C3" w:rsidRPr="001235C3" w:rsidRDefault="00787F24" w:rsidP="001235C3">
            <w:pPr>
              <w:tabs>
                <w:tab w:val="decimal" w:pos="637"/>
              </w:tabs>
              <w:spacing w:before="0" w:after="0"/>
              <w:rPr>
                <w:rFonts w:cs="Arial"/>
              </w:rPr>
            </w:pPr>
            <w:r>
              <w:rPr>
                <w:rFonts w:cs="Arial"/>
              </w:rPr>
              <w:t>3</w:t>
            </w:r>
            <w:r w:rsidR="001235C3" w:rsidRPr="001235C3">
              <w:rPr>
                <w:rFonts w:cs="Arial"/>
              </w:rPr>
              <w:t>50.00/term</w:t>
            </w:r>
          </w:p>
        </w:tc>
      </w:tr>
      <w:tr w:rsidR="001235C3" w:rsidRPr="001235C3" w14:paraId="46AAF39C" w14:textId="77777777" w:rsidTr="002663B5">
        <w:tc>
          <w:tcPr>
            <w:tcW w:w="6948" w:type="dxa"/>
            <w:tcBorders>
              <w:top w:val="single" w:sz="4" w:space="0" w:color="auto"/>
              <w:left w:val="single" w:sz="4" w:space="0" w:color="auto"/>
              <w:bottom w:val="single" w:sz="4" w:space="0" w:color="auto"/>
              <w:right w:val="single" w:sz="4" w:space="0" w:color="auto"/>
            </w:tcBorders>
            <w:hideMark/>
          </w:tcPr>
          <w:p w14:paraId="53EA558B" w14:textId="77777777" w:rsidR="001235C3" w:rsidRPr="001235C3" w:rsidRDefault="001235C3" w:rsidP="001235C3">
            <w:pPr>
              <w:spacing w:before="0" w:after="0"/>
              <w:rPr>
                <w:rFonts w:cs="Arial"/>
              </w:rPr>
            </w:pPr>
            <w:r w:rsidRPr="001235C3">
              <w:rPr>
                <w:rFonts w:cs="Arial"/>
              </w:rPr>
              <w:t>Printer Hardware</w:t>
            </w:r>
          </w:p>
        </w:tc>
        <w:tc>
          <w:tcPr>
            <w:tcW w:w="2628" w:type="dxa"/>
            <w:tcBorders>
              <w:top w:val="single" w:sz="4" w:space="0" w:color="auto"/>
              <w:left w:val="single" w:sz="4" w:space="0" w:color="auto"/>
              <w:bottom w:val="single" w:sz="4" w:space="0" w:color="auto"/>
              <w:right w:val="single" w:sz="4" w:space="0" w:color="auto"/>
            </w:tcBorders>
            <w:hideMark/>
          </w:tcPr>
          <w:p w14:paraId="5FE09B19" w14:textId="77777777" w:rsidR="001235C3" w:rsidRPr="001235C3" w:rsidRDefault="00787F24" w:rsidP="001235C3">
            <w:pPr>
              <w:tabs>
                <w:tab w:val="decimal" w:pos="637"/>
              </w:tabs>
              <w:spacing w:before="0" w:after="0"/>
              <w:rPr>
                <w:rFonts w:cs="Arial"/>
              </w:rPr>
            </w:pPr>
            <w:r>
              <w:rPr>
                <w:rFonts w:cs="Arial"/>
              </w:rPr>
              <w:t>6</w:t>
            </w:r>
            <w:r w:rsidR="001235C3" w:rsidRPr="001235C3">
              <w:rPr>
                <w:rFonts w:cs="Arial"/>
              </w:rPr>
              <w:t>00.00/term</w:t>
            </w:r>
          </w:p>
        </w:tc>
      </w:tr>
      <w:tr w:rsidR="001235C3" w:rsidRPr="001235C3" w14:paraId="76B902D7" w14:textId="77777777" w:rsidTr="002663B5">
        <w:tc>
          <w:tcPr>
            <w:tcW w:w="6948" w:type="dxa"/>
            <w:tcBorders>
              <w:top w:val="single" w:sz="4" w:space="0" w:color="auto"/>
              <w:left w:val="single" w:sz="4" w:space="0" w:color="auto"/>
              <w:bottom w:val="single" w:sz="4" w:space="0" w:color="auto"/>
              <w:right w:val="single" w:sz="4" w:space="0" w:color="auto"/>
            </w:tcBorders>
            <w:hideMark/>
          </w:tcPr>
          <w:p w14:paraId="2750863C" w14:textId="77777777" w:rsidR="001235C3" w:rsidRPr="001235C3" w:rsidRDefault="001235C3" w:rsidP="001235C3">
            <w:pPr>
              <w:spacing w:before="0" w:after="0"/>
              <w:rPr>
                <w:rFonts w:cs="Arial"/>
              </w:rPr>
            </w:pPr>
            <w:r w:rsidRPr="001235C3">
              <w:rPr>
                <w:rFonts w:cs="Arial"/>
              </w:rPr>
              <w:t>Cellular Services</w:t>
            </w:r>
          </w:p>
        </w:tc>
        <w:tc>
          <w:tcPr>
            <w:tcW w:w="2628" w:type="dxa"/>
            <w:tcBorders>
              <w:top w:val="single" w:sz="4" w:space="0" w:color="auto"/>
              <w:left w:val="single" w:sz="4" w:space="0" w:color="auto"/>
              <w:bottom w:val="single" w:sz="4" w:space="0" w:color="auto"/>
              <w:right w:val="single" w:sz="4" w:space="0" w:color="auto"/>
            </w:tcBorders>
            <w:hideMark/>
          </w:tcPr>
          <w:p w14:paraId="573A681D" w14:textId="48FE7105" w:rsidR="001235C3" w:rsidRPr="001235C3" w:rsidRDefault="00150635" w:rsidP="001235C3">
            <w:pPr>
              <w:tabs>
                <w:tab w:val="decimal" w:pos="637"/>
              </w:tabs>
              <w:spacing w:before="0" w:after="0"/>
              <w:rPr>
                <w:rFonts w:cs="Arial"/>
              </w:rPr>
            </w:pPr>
            <w:r>
              <w:rPr>
                <w:rFonts w:cs="Arial"/>
              </w:rPr>
              <w:t>100</w:t>
            </w:r>
            <w:r w:rsidR="001235C3" w:rsidRPr="001235C3">
              <w:rPr>
                <w:rFonts w:cs="Arial"/>
              </w:rPr>
              <w:t>.00/month</w:t>
            </w:r>
          </w:p>
        </w:tc>
      </w:tr>
      <w:tr w:rsidR="001235C3" w:rsidRPr="001235C3" w14:paraId="7D376641" w14:textId="77777777" w:rsidTr="002663B5">
        <w:tc>
          <w:tcPr>
            <w:tcW w:w="6948" w:type="dxa"/>
            <w:tcBorders>
              <w:top w:val="single" w:sz="4" w:space="0" w:color="auto"/>
              <w:left w:val="single" w:sz="4" w:space="0" w:color="auto"/>
              <w:bottom w:val="single" w:sz="4" w:space="0" w:color="auto"/>
              <w:right w:val="single" w:sz="4" w:space="0" w:color="auto"/>
            </w:tcBorders>
            <w:hideMark/>
          </w:tcPr>
          <w:p w14:paraId="32AED7EF" w14:textId="77777777" w:rsidR="001235C3" w:rsidRPr="001235C3" w:rsidRDefault="001235C3" w:rsidP="001235C3">
            <w:pPr>
              <w:spacing w:before="0" w:after="0"/>
              <w:rPr>
                <w:rFonts w:cs="Arial"/>
              </w:rPr>
            </w:pPr>
            <w:r w:rsidRPr="001235C3">
              <w:rPr>
                <w:rFonts w:cs="Arial"/>
              </w:rPr>
              <w:t>Consumables</w:t>
            </w:r>
          </w:p>
        </w:tc>
        <w:tc>
          <w:tcPr>
            <w:tcW w:w="2628" w:type="dxa"/>
            <w:tcBorders>
              <w:top w:val="single" w:sz="4" w:space="0" w:color="auto"/>
              <w:left w:val="single" w:sz="4" w:space="0" w:color="auto"/>
              <w:bottom w:val="single" w:sz="4" w:space="0" w:color="auto"/>
              <w:right w:val="single" w:sz="4" w:space="0" w:color="auto"/>
            </w:tcBorders>
            <w:hideMark/>
          </w:tcPr>
          <w:p w14:paraId="789EBFF7" w14:textId="77777777" w:rsidR="001235C3" w:rsidRPr="001235C3" w:rsidRDefault="001235C3" w:rsidP="001235C3">
            <w:pPr>
              <w:tabs>
                <w:tab w:val="decimal" w:pos="637"/>
              </w:tabs>
              <w:spacing w:before="0" w:after="0"/>
              <w:rPr>
                <w:rFonts w:cs="Arial"/>
              </w:rPr>
            </w:pPr>
            <w:r w:rsidRPr="001235C3">
              <w:rPr>
                <w:rFonts w:cs="Arial"/>
              </w:rPr>
              <w:t>400.00/year</w:t>
            </w:r>
          </w:p>
        </w:tc>
      </w:tr>
      <w:tr w:rsidR="001235C3" w:rsidRPr="001235C3" w14:paraId="5A8AD818" w14:textId="77777777" w:rsidTr="002663B5">
        <w:tc>
          <w:tcPr>
            <w:tcW w:w="6948" w:type="dxa"/>
            <w:tcBorders>
              <w:top w:val="single" w:sz="4" w:space="0" w:color="auto"/>
              <w:left w:val="single" w:sz="4" w:space="0" w:color="auto"/>
              <w:bottom w:val="single" w:sz="4" w:space="0" w:color="auto"/>
              <w:right w:val="single" w:sz="4" w:space="0" w:color="auto"/>
            </w:tcBorders>
            <w:hideMark/>
          </w:tcPr>
          <w:p w14:paraId="515AD1CF" w14:textId="77777777" w:rsidR="001235C3" w:rsidRPr="001235C3" w:rsidRDefault="001235C3" w:rsidP="001235C3">
            <w:pPr>
              <w:spacing w:before="0" w:after="0"/>
              <w:rPr>
                <w:rFonts w:cs="Arial"/>
              </w:rPr>
            </w:pPr>
            <w:r w:rsidRPr="001235C3">
              <w:rPr>
                <w:rFonts w:cs="Arial"/>
              </w:rPr>
              <w:t>Internet Services</w:t>
            </w:r>
          </w:p>
        </w:tc>
        <w:tc>
          <w:tcPr>
            <w:tcW w:w="2628" w:type="dxa"/>
            <w:tcBorders>
              <w:top w:val="single" w:sz="4" w:space="0" w:color="auto"/>
              <w:left w:val="single" w:sz="4" w:space="0" w:color="auto"/>
              <w:bottom w:val="single" w:sz="4" w:space="0" w:color="auto"/>
              <w:right w:val="single" w:sz="4" w:space="0" w:color="auto"/>
            </w:tcBorders>
            <w:hideMark/>
          </w:tcPr>
          <w:p w14:paraId="242FD854" w14:textId="450CB889" w:rsidR="001235C3" w:rsidRPr="001235C3" w:rsidRDefault="00150635" w:rsidP="001235C3">
            <w:pPr>
              <w:tabs>
                <w:tab w:val="decimal" w:pos="637"/>
              </w:tabs>
              <w:spacing w:before="0" w:after="0"/>
              <w:rPr>
                <w:rFonts w:cs="Arial"/>
              </w:rPr>
            </w:pPr>
            <w:r>
              <w:rPr>
                <w:rFonts w:cs="Arial"/>
              </w:rPr>
              <w:t>100</w:t>
            </w:r>
            <w:r w:rsidR="001235C3" w:rsidRPr="001235C3">
              <w:rPr>
                <w:rFonts w:cs="Arial"/>
              </w:rPr>
              <w:t>.00/month</w:t>
            </w:r>
          </w:p>
        </w:tc>
      </w:tr>
      <w:tr w:rsidR="001235C3" w:rsidRPr="001235C3" w14:paraId="1BBBE161" w14:textId="77777777" w:rsidTr="002663B5">
        <w:tc>
          <w:tcPr>
            <w:tcW w:w="6948" w:type="dxa"/>
            <w:tcBorders>
              <w:top w:val="single" w:sz="4" w:space="0" w:color="auto"/>
              <w:left w:val="single" w:sz="4" w:space="0" w:color="auto"/>
              <w:bottom w:val="single" w:sz="4" w:space="0" w:color="auto"/>
              <w:right w:val="single" w:sz="4" w:space="0" w:color="auto"/>
            </w:tcBorders>
            <w:hideMark/>
          </w:tcPr>
          <w:p w14:paraId="1B90F8CC" w14:textId="77777777" w:rsidR="001235C3" w:rsidRPr="001235C3" w:rsidRDefault="001235C3" w:rsidP="001235C3">
            <w:pPr>
              <w:spacing w:before="0" w:after="0"/>
              <w:rPr>
                <w:rFonts w:cs="Arial"/>
              </w:rPr>
            </w:pPr>
            <w:r w:rsidRPr="001235C3">
              <w:rPr>
                <w:rFonts w:cs="Arial"/>
              </w:rPr>
              <w:t>Support Services</w:t>
            </w:r>
          </w:p>
        </w:tc>
        <w:tc>
          <w:tcPr>
            <w:tcW w:w="2628" w:type="dxa"/>
            <w:tcBorders>
              <w:top w:val="single" w:sz="4" w:space="0" w:color="auto"/>
              <w:left w:val="single" w:sz="4" w:space="0" w:color="auto"/>
              <w:bottom w:val="single" w:sz="4" w:space="0" w:color="auto"/>
              <w:right w:val="single" w:sz="4" w:space="0" w:color="auto"/>
            </w:tcBorders>
            <w:hideMark/>
          </w:tcPr>
          <w:p w14:paraId="23A5690D" w14:textId="77777777" w:rsidR="001235C3" w:rsidRPr="001235C3" w:rsidRDefault="001235C3" w:rsidP="001235C3">
            <w:pPr>
              <w:tabs>
                <w:tab w:val="decimal" w:pos="637"/>
              </w:tabs>
              <w:spacing w:before="0" w:after="0"/>
              <w:rPr>
                <w:rFonts w:cs="Arial"/>
              </w:rPr>
            </w:pPr>
            <w:r w:rsidRPr="001235C3">
              <w:rPr>
                <w:rFonts w:cs="Arial"/>
              </w:rPr>
              <w:t>400.00/year</w:t>
            </w:r>
          </w:p>
        </w:tc>
      </w:tr>
      <w:tr w:rsidR="001235C3" w:rsidRPr="001235C3" w14:paraId="46DDC79D" w14:textId="77777777" w:rsidTr="009C052E">
        <w:tc>
          <w:tcPr>
            <w:tcW w:w="6948" w:type="dxa"/>
            <w:tcBorders>
              <w:top w:val="single" w:sz="4" w:space="0" w:color="auto"/>
              <w:left w:val="single" w:sz="4" w:space="0" w:color="auto"/>
              <w:bottom w:val="single" w:sz="4" w:space="0" w:color="auto"/>
              <w:right w:val="single" w:sz="4" w:space="0" w:color="auto"/>
            </w:tcBorders>
          </w:tcPr>
          <w:p w14:paraId="11C20EEC" w14:textId="15592193" w:rsidR="001235C3" w:rsidRPr="001235C3" w:rsidRDefault="00150635" w:rsidP="001235C3">
            <w:pPr>
              <w:spacing w:before="0" w:after="0"/>
              <w:rPr>
                <w:rFonts w:cs="Arial"/>
              </w:rPr>
            </w:pPr>
            <w:r>
              <w:rPr>
                <w:rFonts w:cs="Arial"/>
              </w:rPr>
              <w:t>Capital Expense Allowance for Security Cameras</w:t>
            </w:r>
          </w:p>
        </w:tc>
        <w:tc>
          <w:tcPr>
            <w:tcW w:w="2628" w:type="dxa"/>
            <w:tcBorders>
              <w:top w:val="single" w:sz="4" w:space="0" w:color="auto"/>
              <w:left w:val="single" w:sz="4" w:space="0" w:color="auto"/>
              <w:bottom w:val="single" w:sz="4" w:space="0" w:color="auto"/>
              <w:right w:val="single" w:sz="4" w:space="0" w:color="auto"/>
            </w:tcBorders>
          </w:tcPr>
          <w:p w14:paraId="5CC32E8D" w14:textId="0F818A65" w:rsidR="001235C3" w:rsidRPr="001235C3" w:rsidRDefault="00150635" w:rsidP="001235C3">
            <w:pPr>
              <w:tabs>
                <w:tab w:val="decimal" w:pos="637"/>
              </w:tabs>
              <w:spacing w:before="0" w:after="0"/>
              <w:rPr>
                <w:rFonts w:cs="Arial"/>
              </w:rPr>
            </w:pPr>
            <w:r>
              <w:rPr>
                <w:rFonts w:cs="Arial"/>
              </w:rPr>
              <w:t>500.00/one time</w:t>
            </w:r>
          </w:p>
        </w:tc>
      </w:tr>
    </w:tbl>
    <w:p w14:paraId="453FBD8F" w14:textId="77777777" w:rsidR="001235C3" w:rsidRPr="001235C3" w:rsidRDefault="001235C3" w:rsidP="001235C3">
      <w:pPr>
        <w:spacing w:before="0" w:after="0"/>
        <w:rPr>
          <w:rFonts w:eastAsiaTheme="majorEastAsia" w:cstheme="majorBidi"/>
          <w:b/>
          <w:bCs/>
          <w:sz w:val="28"/>
          <w:szCs w:val="28"/>
        </w:rPr>
      </w:pPr>
      <w:r w:rsidRPr="001235C3">
        <w:br w:type="page"/>
      </w:r>
    </w:p>
    <w:p w14:paraId="3957E387" w14:textId="77777777" w:rsidR="001235C3" w:rsidRPr="001235C3" w:rsidRDefault="001235C3" w:rsidP="001235C3">
      <w:pPr>
        <w:keepNext/>
        <w:keepLines/>
        <w:jc w:val="center"/>
        <w:outlineLvl w:val="0"/>
        <w:rPr>
          <w:rFonts w:eastAsiaTheme="majorEastAsia" w:cstheme="majorBidi"/>
          <w:b/>
          <w:bCs/>
          <w:sz w:val="28"/>
          <w:szCs w:val="28"/>
        </w:rPr>
      </w:pPr>
      <w:r w:rsidRPr="001235C3">
        <w:rPr>
          <w:rFonts w:eastAsiaTheme="majorEastAsia" w:cstheme="majorBidi"/>
          <w:b/>
          <w:bCs/>
          <w:sz w:val="28"/>
          <w:szCs w:val="28"/>
        </w:rPr>
        <w:lastRenderedPageBreak/>
        <w:t>Appendix 2</w:t>
      </w:r>
    </w:p>
    <w:p w14:paraId="7BC07DF1" w14:textId="77777777" w:rsidR="001235C3" w:rsidRPr="001235C3" w:rsidRDefault="001235C3" w:rsidP="001235C3">
      <w:pPr>
        <w:spacing w:before="360" w:after="360"/>
        <w:jc w:val="center"/>
        <w:rPr>
          <w:sz w:val="28"/>
          <w:szCs w:val="28"/>
        </w:rPr>
      </w:pPr>
      <w:r w:rsidRPr="001235C3">
        <w:rPr>
          <w:rFonts w:cs="Arial"/>
          <w:b/>
          <w:sz w:val="28"/>
          <w:szCs w:val="28"/>
        </w:rPr>
        <w:t>Purchase of Council Computer Hardware</w:t>
      </w:r>
    </w:p>
    <w:p w14:paraId="22AC86D5" w14:textId="77777777" w:rsidR="001235C3" w:rsidRPr="001235C3" w:rsidRDefault="001235C3" w:rsidP="001235C3">
      <w:pPr>
        <w:overflowPunct w:val="0"/>
        <w:autoSpaceDE w:val="0"/>
        <w:autoSpaceDN w:val="0"/>
        <w:adjustRightInd w:val="0"/>
        <w:spacing w:before="480" w:after="0"/>
        <w:jc w:val="center"/>
        <w:textAlignment w:val="baseline"/>
        <w:rPr>
          <w:bCs/>
          <w:iCs/>
        </w:rPr>
      </w:pPr>
      <w:r w:rsidRPr="001235C3">
        <w:rPr>
          <w:bCs/>
          <w:iCs/>
        </w:rPr>
        <w:t>I, ____________________________________________________________________</w:t>
      </w:r>
    </w:p>
    <w:p w14:paraId="4FBD4BA8" w14:textId="77777777" w:rsidR="001235C3" w:rsidRPr="001235C3" w:rsidRDefault="001235C3" w:rsidP="001235C3">
      <w:pPr>
        <w:overflowPunct w:val="0"/>
        <w:autoSpaceDE w:val="0"/>
        <w:autoSpaceDN w:val="0"/>
        <w:adjustRightInd w:val="0"/>
        <w:spacing w:before="0" w:after="0"/>
        <w:jc w:val="center"/>
        <w:textAlignment w:val="baseline"/>
        <w:rPr>
          <w:bCs/>
          <w:iCs/>
        </w:rPr>
      </w:pPr>
      <w:r w:rsidRPr="001235C3">
        <w:rPr>
          <w:bCs/>
          <w:iCs/>
        </w:rPr>
        <w:t>Print or Type Elected Official Name</w:t>
      </w:r>
    </w:p>
    <w:p w14:paraId="2C0C414D" w14:textId="77777777" w:rsidR="001235C3" w:rsidRPr="001235C3" w:rsidRDefault="001235C3" w:rsidP="001235C3">
      <w:pPr>
        <w:overflowPunct w:val="0"/>
        <w:autoSpaceDE w:val="0"/>
        <w:autoSpaceDN w:val="0"/>
        <w:adjustRightInd w:val="0"/>
        <w:spacing w:before="480" w:after="0"/>
        <w:jc w:val="both"/>
        <w:textAlignment w:val="baseline"/>
        <w:rPr>
          <w:bCs/>
        </w:rPr>
      </w:pPr>
      <w:r w:rsidRPr="001235C3">
        <w:rPr>
          <w:bCs/>
        </w:rPr>
        <w:t>acknowledge that the City of Kawartha Lakes has reimbursed me $_______ for the hardware required to fulfil my duties as an Elected Official.</w:t>
      </w:r>
    </w:p>
    <w:p w14:paraId="6D31F592" w14:textId="77777777" w:rsidR="001235C3" w:rsidRPr="001235C3" w:rsidRDefault="001235C3" w:rsidP="001235C3">
      <w:pPr>
        <w:overflowPunct w:val="0"/>
        <w:autoSpaceDE w:val="0"/>
        <w:autoSpaceDN w:val="0"/>
        <w:adjustRightInd w:val="0"/>
        <w:spacing w:before="480" w:after="0"/>
        <w:jc w:val="both"/>
        <w:textAlignment w:val="baseline"/>
        <w:rPr>
          <w:b/>
          <w:iCs/>
        </w:rPr>
      </w:pPr>
      <w:r w:rsidRPr="001235C3">
        <w:rPr>
          <w:b/>
          <w:iCs/>
        </w:rPr>
        <w:t>I understand and agree that:</w:t>
      </w:r>
    </w:p>
    <w:p w14:paraId="30A6D0A2" w14:textId="77777777" w:rsidR="001235C3" w:rsidRPr="001235C3" w:rsidRDefault="001235C3" w:rsidP="001235C3">
      <w:pPr>
        <w:numPr>
          <w:ilvl w:val="0"/>
          <w:numId w:val="5"/>
        </w:numPr>
        <w:overflowPunct w:val="0"/>
        <w:autoSpaceDE w:val="0"/>
        <w:autoSpaceDN w:val="0"/>
        <w:adjustRightInd w:val="0"/>
        <w:spacing w:before="360" w:after="360"/>
        <w:textAlignment w:val="baseline"/>
        <w:rPr>
          <w:rFonts w:cs="Arial"/>
          <w:bCs/>
        </w:rPr>
      </w:pPr>
      <w:r w:rsidRPr="001235C3">
        <w:rPr>
          <w:rFonts w:cs="Arial"/>
          <w:bCs/>
        </w:rPr>
        <w:t xml:space="preserve">The hardware is depreciating at a rate of 25% per annum </w:t>
      </w:r>
      <w:r w:rsidRPr="001235C3">
        <w:rPr>
          <w:rFonts w:cs="Arial"/>
        </w:rPr>
        <w:t>calculated on a monthly basis based on the term served</w:t>
      </w:r>
      <w:r w:rsidRPr="001235C3">
        <w:rPr>
          <w:rFonts w:cs="Arial"/>
          <w:bCs/>
        </w:rPr>
        <w:t>.</w:t>
      </w:r>
    </w:p>
    <w:p w14:paraId="0A9EB497" w14:textId="77777777" w:rsidR="001235C3" w:rsidRPr="001235C3" w:rsidRDefault="001235C3" w:rsidP="001235C3">
      <w:pPr>
        <w:numPr>
          <w:ilvl w:val="0"/>
          <w:numId w:val="5"/>
        </w:numPr>
        <w:overflowPunct w:val="0"/>
        <w:autoSpaceDE w:val="0"/>
        <w:autoSpaceDN w:val="0"/>
        <w:adjustRightInd w:val="0"/>
        <w:spacing w:before="360" w:after="360"/>
        <w:textAlignment w:val="baseline"/>
        <w:rPr>
          <w:bCs/>
        </w:rPr>
      </w:pPr>
      <w:r w:rsidRPr="001235C3">
        <w:rPr>
          <w:bCs/>
        </w:rPr>
        <w:t>If for any reason, I do not complete my term as an Elected Official of The Corporation of the City of Kawartha Lakes, the net book value (amount reimbursed minus the depreciated amount) of the hardware shall become due and payable and will be deducted from my final pay. I will remit to the City, any balance still owing after deduction from my final pay, by cash or by certified cheque, on or before my last day as an Elected Official.</w:t>
      </w:r>
    </w:p>
    <w:tbl>
      <w:tblPr>
        <w:tblW w:w="10368" w:type="dxa"/>
        <w:tblLook w:val="04A0" w:firstRow="1" w:lastRow="0" w:firstColumn="1" w:lastColumn="0" w:noHBand="0" w:noVBand="1"/>
        <w:tblCaption w:val="Signature Line"/>
        <w:tblDescription w:val="Table reads left to right to confirm the date the document was signed."/>
      </w:tblPr>
      <w:tblGrid>
        <w:gridCol w:w="5993"/>
        <w:gridCol w:w="892"/>
        <w:gridCol w:w="897"/>
        <w:gridCol w:w="1782"/>
        <w:gridCol w:w="804"/>
      </w:tblGrid>
      <w:tr w:rsidR="001235C3" w:rsidRPr="001235C3" w14:paraId="7D0E218F" w14:textId="77777777" w:rsidTr="002663B5">
        <w:tc>
          <w:tcPr>
            <w:tcW w:w="5993" w:type="dxa"/>
            <w:hideMark/>
          </w:tcPr>
          <w:p w14:paraId="0582C140" w14:textId="77777777" w:rsidR="001235C3" w:rsidRPr="001235C3" w:rsidRDefault="001235C3" w:rsidP="001235C3">
            <w:pPr>
              <w:overflowPunct w:val="0"/>
              <w:autoSpaceDE w:val="0"/>
              <w:autoSpaceDN w:val="0"/>
              <w:adjustRightInd w:val="0"/>
              <w:spacing w:before="360" w:after="360"/>
              <w:textAlignment w:val="baseline"/>
              <w:rPr>
                <w:bCs/>
                <w:iCs/>
                <w:sz w:val="22"/>
              </w:rPr>
            </w:pPr>
            <w:r w:rsidRPr="001235C3">
              <w:rPr>
                <w:b/>
                <w:iCs/>
              </w:rPr>
              <w:t>DATED</w:t>
            </w:r>
            <w:r w:rsidRPr="001235C3">
              <w:rPr>
                <w:bCs/>
                <w:iCs/>
              </w:rPr>
              <w:t xml:space="preserve"> at </w:t>
            </w:r>
            <w:r w:rsidRPr="001235C3">
              <w:rPr>
                <w:b/>
              </w:rPr>
              <w:t>Lindsay</w:t>
            </w:r>
            <w:r w:rsidRPr="001235C3">
              <w:rPr>
                <w:bCs/>
                <w:iCs/>
              </w:rPr>
              <w:t xml:space="preserve">, in the </w:t>
            </w:r>
            <w:r w:rsidRPr="001235C3">
              <w:rPr>
                <w:b/>
              </w:rPr>
              <w:t>City of Kawartha Lakes</w:t>
            </w:r>
            <w:r w:rsidRPr="001235C3">
              <w:rPr>
                <w:bCs/>
                <w:iCs/>
              </w:rPr>
              <w:t xml:space="preserve"> this</w:t>
            </w:r>
          </w:p>
        </w:tc>
        <w:tc>
          <w:tcPr>
            <w:tcW w:w="892" w:type="dxa"/>
          </w:tcPr>
          <w:p w14:paraId="043C772A" w14:textId="77777777" w:rsidR="001235C3" w:rsidRPr="001235C3" w:rsidRDefault="001235C3" w:rsidP="001235C3">
            <w:pPr>
              <w:overflowPunct w:val="0"/>
              <w:autoSpaceDE w:val="0"/>
              <w:autoSpaceDN w:val="0"/>
              <w:adjustRightInd w:val="0"/>
              <w:spacing w:before="360" w:after="360"/>
              <w:textAlignment w:val="baseline"/>
              <w:rPr>
                <w:b/>
                <w:iCs/>
              </w:rPr>
            </w:pPr>
            <w:r w:rsidRPr="001235C3">
              <w:rPr>
                <w:b/>
                <w:iCs/>
              </w:rPr>
              <w:t>_____</w:t>
            </w:r>
          </w:p>
        </w:tc>
        <w:tc>
          <w:tcPr>
            <w:tcW w:w="897" w:type="dxa"/>
            <w:hideMark/>
          </w:tcPr>
          <w:p w14:paraId="1EB4419A" w14:textId="77777777" w:rsidR="001235C3" w:rsidRPr="001235C3" w:rsidRDefault="001235C3" w:rsidP="001235C3">
            <w:pPr>
              <w:overflowPunct w:val="0"/>
              <w:autoSpaceDE w:val="0"/>
              <w:autoSpaceDN w:val="0"/>
              <w:adjustRightInd w:val="0"/>
              <w:spacing w:before="360" w:after="360"/>
              <w:textAlignment w:val="baseline"/>
              <w:rPr>
                <w:bCs/>
                <w:iCs/>
              </w:rPr>
            </w:pPr>
            <w:r w:rsidRPr="001235C3">
              <w:rPr>
                <w:bCs/>
                <w:iCs/>
              </w:rPr>
              <w:t>day of</w:t>
            </w:r>
          </w:p>
        </w:tc>
        <w:tc>
          <w:tcPr>
            <w:tcW w:w="1782" w:type="dxa"/>
            <w:hideMark/>
          </w:tcPr>
          <w:p w14:paraId="04458565" w14:textId="77777777" w:rsidR="001235C3" w:rsidRPr="001235C3" w:rsidRDefault="001235C3" w:rsidP="001235C3">
            <w:pPr>
              <w:overflowPunct w:val="0"/>
              <w:autoSpaceDE w:val="0"/>
              <w:autoSpaceDN w:val="0"/>
              <w:adjustRightInd w:val="0"/>
              <w:spacing w:before="360" w:after="360"/>
              <w:textAlignment w:val="baseline"/>
              <w:rPr>
                <w:b/>
                <w:iCs/>
              </w:rPr>
            </w:pPr>
            <w:r w:rsidRPr="001235C3">
              <w:rPr>
                <w:b/>
                <w:iCs/>
              </w:rPr>
              <w:t>___________</w:t>
            </w:r>
          </w:p>
        </w:tc>
        <w:tc>
          <w:tcPr>
            <w:tcW w:w="804" w:type="dxa"/>
            <w:hideMark/>
          </w:tcPr>
          <w:p w14:paraId="7A1B1C00" w14:textId="77777777" w:rsidR="001235C3" w:rsidRPr="001235C3" w:rsidRDefault="001235C3" w:rsidP="001235C3">
            <w:pPr>
              <w:overflowPunct w:val="0"/>
              <w:autoSpaceDE w:val="0"/>
              <w:autoSpaceDN w:val="0"/>
              <w:adjustRightInd w:val="0"/>
              <w:spacing w:before="360" w:after="360"/>
              <w:textAlignment w:val="baseline"/>
              <w:rPr>
                <w:b/>
                <w:iCs/>
              </w:rPr>
            </w:pPr>
            <w:r w:rsidRPr="001235C3">
              <w:rPr>
                <w:b/>
                <w:iCs/>
              </w:rPr>
              <w:t>20__</w:t>
            </w:r>
          </w:p>
        </w:tc>
      </w:tr>
    </w:tbl>
    <w:p w14:paraId="222A6B01" w14:textId="77777777" w:rsidR="001235C3" w:rsidRPr="001235C3" w:rsidRDefault="001235C3" w:rsidP="001235C3">
      <w:pPr>
        <w:overflowPunct w:val="0"/>
        <w:autoSpaceDE w:val="0"/>
        <w:autoSpaceDN w:val="0"/>
        <w:adjustRightInd w:val="0"/>
        <w:jc w:val="both"/>
        <w:textAlignment w:val="baseline"/>
        <w:rPr>
          <w:bCs/>
          <w:i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ignature Line"/>
        <w:tblDescription w:val="Table reads left to right and contains written and printed name of the elected official signing the document and the written and printed name of the witness to the document."/>
      </w:tblPr>
      <w:tblGrid>
        <w:gridCol w:w="4518"/>
        <w:gridCol w:w="720"/>
        <w:gridCol w:w="5130"/>
      </w:tblGrid>
      <w:tr w:rsidR="001235C3" w:rsidRPr="001235C3" w14:paraId="2C7D1C01" w14:textId="77777777" w:rsidTr="002663B5">
        <w:trPr>
          <w:trHeight w:val="135"/>
        </w:trPr>
        <w:tc>
          <w:tcPr>
            <w:tcW w:w="4518" w:type="dxa"/>
            <w:tcBorders>
              <w:top w:val="nil"/>
              <w:left w:val="nil"/>
              <w:bottom w:val="single" w:sz="4" w:space="0" w:color="auto"/>
              <w:right w:val="nil"/>
            </w:tcBorders>
            <w:hideMark/>
          </w:tcPr>
          <w:p w14:paraId="5057C92C" w14:textId="77777777" w:rsidR="001235C3" w:rsidRPr="001235C3" w:rsidRDefault="001235C3" w:rsidP="001235C3">
            <w:pPr>
              <w:overflowPunct w:val="0"/>
              <w:autoSpaceDE w:val="0"/>
              <w:autoSpaceDN w:val="0"/>
              <w:adjustRightInd w:val="0"/>
              <w:spacing w:before="0" w:after="0"/>
              <w:jc w:val="both"/>
              <w:textAlignment w:val="baseline"/>
              <w:rPr>
                <w:bCs/>
                <w:iCs/>
                <w:sz w:val="20"/>
                <w:szCs w:val="20"/>
              </w:rPr>
            </w:pPr>
            <w:r w:rsidRPr="001235C3">
              <w:rPr>
                <w:bCs/>
                <w:iCs/>
                <w:sz w:val="20"/>
                <w:szCs w:val="20"/>
              </w:rPr>
              <w:t> </w:t>
            </w:r>
          </w:p>
        </w:tc>
        <w:tc>
          <w:tcPr>
            <w:tcW w:w="720" w:type="dxa"/>
            <w:tcBorders>
              <w:top w:val="nil"/>
              <w:left w:val="nil"/>
              <w:bottom w:val="nil"/>
              <w:right w:val="nil"/>
            </w:tcBorders>
          </w:tcPr>
          <w:p w14:paraId="52CD8595" w14:textId="77777777" w:rsidR="001235C3" w:rsidRPr="001235C3" w:rsidRDefault="001235C3" w:rsidP="001235C3">
            <w:pPr>
              <w:overflowPunct w:val="0"/>
              <w:autoSpaceDE w:val="0"/>
              <w:autoSpaceDN w:val="0"/>
              <w:adjustRightInd w:val="0"/>
              <w:spacing w:before="0" w:after="0"/>
              <w:jc w:val="both"/>
              <w:textAlignment w:val="baseline"/>
              <w:rPr>
                <w:bCs/>
                <w:iCs/>
                <w:sz w:val="20"/>
                <w:szCs w:val="20"/>
              </w:rPr>
            </w:pPr>
          </w:p>
        </w:tc>
        <w:tc>
          <w:tcPr>
            <w:tcW w:w="5130" w:type="dxa"/>
            <w:tcBorders>
              <w:top w:val="nil"/>
              <w:left w:val="nil"/>
              <w:bottom w:val="single" w:sz="4" w:space="0" w:color="auto"/>
              <w:right w:val="nil"/>
            </w:tcBorders>
          </w:tcPr>
          <w:p w14:paraId="318A94D9" w14:textId="77777777" w:rsidR="001235C3" w:rsidRPr="001235C3" w:rsidRDefault="001235C3" w:rsidP="001235C3">
            <w:pPr>
              <w:overflowPunct w:val="0"/>
              <w:autoSpaceDE w:val="0"/>
              <w:autoSpaceDN w:val="0"/>
              <w:adjustRightInd w:val="0"/>
              <w:spacing w:before="0" w:after="0"/>
              <w:jc w:val="both"/>
              <w:textAlignment w:val="baseline"/>
              <w:rPr>
                <w:bCs/>
                <w:iCs/>
                <w:sz w:val="20"/>
                <w:szCs w:val="20"/>
              </w:rPr>
            </w:pPr>
          </w:p>
        </w:tc>
      </w:tr>
      <w:tr w:rsidR="001235C3" w:rsidRPr="001235C3" w14:paraId="4905F147" w14:textId="77777777" w:rsidTr="002663B5">
        <w:tc>
          <w:tcPr>
            <w:tcW w:w="4518" w:type="dxa"/>
            <w:tcBorders>
              <w:top w:val="single" w:sz="4" w:space="0" w:color="auto"/>
              <w:left w:val="nil"/>
              <w:bottom w:val="nil"/>
              <w:right w:val="nil"/>
            </w:tcBorders>
            <w:hideMark/>
          </w:tcPr>
          <w:p w14:paraId="56A81DAA" w14:textId="77777777" w:rsidR="001235C3" w:rsidRPr="001235C3" w:rsidRDefault="001235C3" w:rsidP="001235C3">
            <w:pPr>
              <w:overflowPunct w:val="0"/>
              <w:autoSpaceDE w:val="0"/>
              <w:autoSpaceDN w:val="0"/>
              <w:adjustRightInd w:val="0"/>
              <w:spacing w:before="0" w:after="0"/>
              <w:jc w:val="center"/>
              <w:textAlignment w:val="baseline"/>
              <w:rPr>
                <w:bCs/>
                <w:iCs/>
                <w:sz w:val="16"/>
                <w:szCs w:val="20"/>
              </w:rPr>
            </w:pPr>
            <w:r w:rsidRPr="001235C3">
              <w:rPr>
                <w:bCs/>
                <w:iCs/>
                <w:sz w:val="16"/>
                <w:szCs w:val="20"/>
              </w:rPr>
              <w:t>Witness Signature</w:t>
            </w:r>
          </w:p>
        </w:tc>
        <w:tc>
          <w:tcPr>
            <w:tcW w:w="720" w:type="dxa"/>
            <w:tcBorders>
              <w:top w:val="nil"/>
              <w:left w:val="nil"/>
              <w:bottom w:val="nil"/>
              <w:right w:val="nil"/>
            </w:tcBorders>
          </w:tcPr>
          <w:p w14:paraId="0A86F1A8" w14:textId="77777777" w:rsidR="001235C3" w:rsidRPr="001235C3" w:rsidRDefault="001235C3" w:rsidP="001235C3">
            <w:pPr>
              <w:overflowPunct w:val="0"/>
              <w:autoSpaceDE w:val="0"/>
              <w:autoSpaceDN w:val="0"/>
              <w:adjustRightInd w:val="0"/>
              <w:spacing w:before="0" w:after="0"/>
              <w:jc w:val="center"/>
              <w:textAlignment w:val="baseline"/>
              <w:rPr>
                <w:bCs/>
                <w:iCs/>
                <w:sz w:val="16"/>
                <w:szCs w:val="20"/>
              </w:rPr>
            </w:pPr>
          </w:p>
        </w:tc>
        <w:tc>
          <w:tcPr>
            <w:tcW w:w="5130" w:type="dxa"/>
            <w:tcBorders>
              <w:top w:val="single" w:sz="4" w:space="0" w:color="auto"/>
              <w:left w:val="nil"/>
              <w:bottom w:val="nil"/>
              <w:right w:val="nil"/>
            </w:tcBorders>
            <w:hideMark/>
          </w:tcPr>
          <w:p w14:paraId="75F166E9" w14:textId="77777777" w:rsidR="001235C3" w:rsidRPr="001235C3" w:rsidRDefault="001235C3" w:rsidP="001235C3">
            <w:pPr>
              <w:overflowPunct w:val="0"/>
              <w:autoSpaceDE w:val="0"/>
              <w:autoSpaceDN w:val="0"/>
              <w:adjustRightInd w:val="0"/>
              <w:spacing w:before="0" w:after="0"/>
              <w:jc w:val="center"/>
              <w:textAlignment w:val="baseline"/>
              <w:rPr>
                <w:bCs/>
                <w:iCs/>
                <w:sz w:val="16"/>
                <w:szCs w:val="20"/>
              </w:rPr>
            </w:pPr>
            <w:r w:rsidRPr="001235C3">
              <w:rPr>
                <w:bCs/>
                <w:iCs/>
                <w:sz w:val="16"/>
                <w:szCs w:val="20"/>
              </w:rPr>
              <w:t>Elected Official Signature</w:t>
            </w:r>
          </w:p>
        </w:tc>
      </w:tr>
      <w:tr w:rsidR="001235C3" w:rsidRPr="001235C3" w14:paraId="6E176F11" w14:textId="77777777" w:rsidTr="002663B5">
        <w:tc>
          <w:tcPr>
            <w:tcW w:w="4518" w:type="dxa"/>
            <w:tcBorders>
              <w:top w:val="nil"/>
              <w:left w:val="nil"/>
              <w:bottom w:val="single" w:sz="4" w:space="0" w:color="auto"/>
              <w:right w:val="nil"/>
            </w:tcBorders>
          </w:tcPr>
          <w:p w14:paraId="04061BB8" w14:textId="77777777" w:rsidR="001235C3" w:rsidRPr="001235C3" w:rsidRDefault="001235C3" w:rsidP="001235C3">
            <w:pPr>
              <w:overflowPunct w:val="0"/>
              <w:autoSpaceDE w:val="0"/>
              <w:autoSpaceDN w:val="0"/>
              <w:adjustRightInd w:val="0"/>
              <w:spacing w:before="360" w:after="360"/>
              <w:jc w:val="center"/>
              <w:textAlignment w:val="baseline"/>
              <w:rPr>
                <w:sz w:val="20"/>
                <w:szCs w:val="20"/>
              </w:rPr>
            </w:pPr>
          </w:p>
        </w:tc>
        <w:tc>
          <w:tcPr>
            <w:tcW w:w="720" w:type="dxa"/>
            <w:tcBorders>
              <w:top w:val="nil"/>
              <w:left w:val="nil"/>
              <w:bottom w:val="nil"/>
              <w:right w:val="nil"/>
            </w:tcBorders>
          </w:tcPr>
          <w:p w14:paraId="79621D09" w14:textId="77777777" w:rsidR="001235C3" w:rsidRPr="001235C3" w:rsidRDefault="001235C3" w:rsidP="001235C3">
            <w:pPr>
              <w:overflowPunct w:val="0"/>
              <w:autoSpaceDE w:val="0"/>
              <w:autoSpaceDN w:val="0"/>
              <w:adjustRightInd w:val="0"/>
              <w:spacing w:before="0" w:after="0"/>
              <w:jc w:val="center"/>
              <w:textAlignment w:val="baseline"/>
              <w:rPr>
                <w:sz w:val="20"/>
                <w:szCs w:val="20"/>
              </w:rPr>
            </w:pPr>
          </w:p>
        </w:tc>
        <w:tc>
          <w:tcPr>
            <w:tcW w:w="5130" w:type="dxa"/>
            <w:tcBorders>
              <w:top w:val="nil"/>
              <w:left w:val="nil"/>
              <w:bottom w:val="single" w:sz="4" w:space="0" w:color="auto"/>
              <w:right w:val="nil"/>
            </w:tcBorders>
          </w:tcPr>
          <w:p w14:paraId="4400CF24" w14:textId="77777777" w:rsidR="001235C3" w:rsidRPr="001235C3" w:rsidRDefault="001235C3" w:rsidP="001235C3">
            <w:pPr>
              <w:overflowPunct w:val="0"/>
              <w:autoSpaceDE w:val="0"/>
              <w:autoSpaceDN w:val="0"/>
              <w:adjustRightInd w:val="0"/>
              <w:spacing w:before="0" w:after="0"/>
              <w:jc w:val="center"/>
              <w:textAlignment w:val="baseline"/>
              <w:rPr>
                <w:sz w:val="20"/>
                <w:szCs w:val="20"/>
              </w:rPr>
            </w:pPr>
          </w:p>
        </w:tc>
      </w:tr>
      <w:tr w:rsidR="001235C3" w:rsidRPr="001235C3" w14:paraId="5A45111E" w14:textId="77777777" w:rsidTr="002663B5">
        <w:tc>
          <w:tcPr>
            <w:tcW w:w="4518" w:type="dxa"/>
            <w:tcBorders>
              <w:top w:val="single" w:sz="4" w:space="0" w:color="auto"/>
              <w:left w:val="nil"/>
              <w:bottom w:val="nil"/>
              <w:right w:val="nil"/>
            </w:tcBorders>
            <w:hideMark/>
          </w:tcPr>
          <w:p w14:paraId="140CDAF6" w14:textId="77777777" w:rsidR="001235C3" w:rsidRPr="001235C3" w:rsidRDefault="001235C3" w:rsidP="001235C3">
            <w:pPr>
              <w:overflowPunct w:val="0"/>
              <w:autoSpaceDE w:val="0"/>
              <w:autoSpaceDN w:val="0"/>
              <w:adjustRightInd w:val="0"/>
              <w:spacing w:before="0" w:after="0"/>
              <w:jc w:val="center"/>
              <w:textAlignment w:val="baseline"/>
              <w:rPr>
                <w:bCs/>
                <w:iCs/>
                <w:sz w:val="16"/>
                <w:szCs w:val="20"/>
              </w:rPr>
            </w:pPr>
            <w:r w:rsidRPr="001235C3">
              <w:rPr>
                <w:bCs/>
                <w:iCs/>
                <w:sz w:val="16"/>
                <w:szCs w:val="20"/>
              </w:rPr>
              <w:t>Print or Type Name of Witness</w:t>
            </w:r>
          </w:p>
        </w:tc>
        <w:tc>
          <w:tcPr>
            <w:tcW w:w="720" w:type="dxa"/>
            <w:tcBorders>
              <w:top w:val="nil"/>
              <w:left w:val="nil"/>
              <w:bottom w:val="nil"/>
              <w:right w:val="nil"/>
            </w:tcBorders>
          </w:tcPr>
          <w:p w14:paraId="4C38C58A" w14:textId="77777777" w:rsidR="001235C3" w:rsidRPr="001235C3" w:rsidRDefault="001235C3" w:rsidP="001235C3">
            <w:pPr>
              <w:overflowPunct w:val="0"/>
              <w:autoSpaceDE w:val="0"/>
              <w:autoSpaceDN w:val="0"/>
              <w:adjustRightInd w:val="0"/>
              <w:spacing w:before="0" w:after="0"/>
              <w:jc w:val="center"/>
              <w:textAlignment w:val="baseline"/>
              <w:rPr>
                <w:bCs/>
                <w:iCs/>
                <w:sz w:val="16"/>
                <w:szCs w:val="20"/>
              </w:rPr>
            </w:pPr>
          </w:p>
        </w:tc>
        <w:tc>
          <w:tcPr>
            <w:tcW w:w="5130" w:type="dxa"/>
            <w:tcBorders>
              <w:top w:val="single" w:sz="4" w:space="0" w:color="auto"/>
              <w:left w:val="nil"/>
              <w:bottom w:val="nil"/>
              <w:right w:val="nil"/>
            </w:tcBorders>
          </w:tcPr>
          <w:p w14:paraId="38FF257C" w14:textId="77777777" w:rsidR="001235C3" w:rsidRPr="001235C3" w:rsidRDefault="001235C3" w:rsidP="001235C3">
            <w:pPr>
              <w:overflowPunct w:val="0"/>
              <w:autoSpaceDE w:val="0"/>
              <w:autoSpaceDN w:val="0"/>
              <w:adjustRightInd w:val="0"/>
              <w:spacing w:before="0" w:after="0"/>
              <w:jc w:val="center"/>
              <w:textAlignment w:val="baseline"/>
              <w:rPr>
                <w:bCs/>
                <w:iCs/>
                <w:sz w:val="16"/>
                <w:szCs w:val="20"/>
              </w:rPr>
            </w:pPr>
            <w:r w:rsidRPr="001235C3">
              <w:rPr>
                <w:bCs/>
                <w:iCs/>
                <w:sz w:val="16"/>
                <w:szCs w:val="20"/>
              </w:rPr>
              <w:t>Print or Type Name of Elected Official</w:t>
            </w:r>
          </w:p>
          <w:p w14:paraId="2F4DE488" w14:textId="77777777" w:rsidR="001235C3" w:rsidRPr="001235C3" w:rsidRDefault="001235C3" w:rsidP="001235C3">
            <w:pPr>
              <w:overflowPunct w:val="0"/>
              <w:autoSpaceDE w:val="0"/>
              <w:autoSpaceDN w:val="0"/>
              <w:adjustRightInd w:val="0"/>
              <w:spacing w:before="0" w:after="0"/>
              <w:textAlignment w:val="baseline"/>
              <w:rPr>
                <w:bCs/>
                <w:iCs/>
                <w:sz w:val="16"/>
                <w:szCs w:val="20"/>
              </w:rPr>
            </w:pPr>
          </w:p>
        </w:tc>
      </w:tr>
    </w:tbl>
    <w:p w14:paraId="26AE9254" w14:textId="77777777" w:rsidR="001235C3" w:rsidRPr="001235C3" w:rsidRDefault="001235C3" w:rsidP="001235C3">
      <w:pPr>
        <w:spacing w:before="0" w:after="0"/>
        <w:rPr>
          <w:b/>
        </w:rPr>
      </w:pPr>
    </w:p>
    <w:p w14:paraId="12305F9C" w14:textId="77777777" w:rsidR="00226B10" w:rsidRDefault="00226B10" w:rsidP="00226B10">
      <w:pPr>
        <w:rPr>
          <w:rFonts w:ascii="Tahoma" w:hAnsi="Tahoma" w:cs="Tahoma"/>
        </w:rPr>
      </w:pPr>
    </w:p>
    <w:sectPr w:rsidR="00226B10" w:rsidSect="008E5E29">
      <w:footerReference w:type="default" r:id="rId10"/>
      <w:headerReference w:type="first" r:id="rId11"/>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B09D4" w14:textId="77777777" w:rsidR="00881909" w:rsidRDefault="00881909" w:rsidP="00226B10">
      <w:r>
        <w:separator/>
      </w:r>
    </w:p>
  </w:endnote>
  <w:endnote w:type="continuationSeparator" w:id="0">
    <w:p w14:paraId="2014F564" w14:textId="77777777" w:rsidR="00881909" w:rsidRDefault="00881909"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30ED225C" w14:textId="680647B2" w:rsidR="00226B10" w:rsidRPr="00F95061" w:rsidRDefault="00C74F14" w:rsidP="00F95061">
            <w:pPr>
              <w:pStyle w:val="Footer"/>
              <w:jc w:val="right"/>
              <w:rPr>
                <w:rFonts w:cs="Arial"/>
                <w:sz w:val="20"/>
                <w:szCs w:val="20"/>
              </w:rPr>
            </w:pPr>
            <w:r>
              <w:rPr>
                <w:rFonts w:cs="Arial"/>
                <w:sz w:val="20"/>
                <w:szCs w:val="20"/>
              </w:rPr>
              <w:t>CP2018-015 Council Computer Systems</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A52618">
              <w:rPr>
                <w:rFonts w:cs="Arial"/>
                <w:bCs/>
                <w:noProof/>
                <w:sz w:val="20"/>
                <w:szCs w:val="20"/>
              </w:rPr>
              <w:t>2</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A52618">
              <w:rPr>
                <w:rFonts w:cs="Arial"/>
                <w:bCs/>
                <w:noProof/>
                <w:sz w:val="20"/>
                <w:szCs w:val="20"/>
              </w:rPr>
              <w:t>7</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FF3FE" w14:textId="77777777" w:rsidR="00881909" w:rsidRDefault="00881909" w:rsidP="00226B10">
      <w:r>
        <w:separator/>
      </w:r>
    </w:p>
  </w:footnote>
  <w:footnote w:type="continuationSeparator" w:id="0">
    <w:p w14:paraId="61502652" w14:textId="77777777" w:rsidR="00881909" w:rsidRDefault="00881909"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67943"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706EA523" wp14:editId="5FC22114">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1C56C1A7"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07741"/>
    <w:multiLevelType w:val="hybridMultilevel"/>
    <w:tmpl w:val="30C448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8D85BAA"/>
    <w:multiLevelType w:val="hybridMultilevel"/>
    <w:tmpl w:val="9D6E36B0"/>
    <w:lvl w:ilvl="0" w:tplc="64604354">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8FD1F7F"/>
    <w:multiLevelType w:val="hybridMultilevel"/>
    <w:tmpl w:val="A69A00B6"/>
    <w:lvl w:ilvl="0" w:tplc="BB367EEC">
      <w:start w:val="1"/>
      <w:numFmt w:val="decimal"/>
      <w:lvlText w:val="%1."/>
      <w:lvlJc w:val="left"/>
      <w:pPr>
        <w:tabs>
          <w:tab w:val="num" w:pos="720"/>
        </w:tabs>
        <w:ind w:left="720" w:hanging="72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73A00F84"/>
    <w:multiLevelType w:val="hybridMultilevel"/>
    <w:tmpl w:val="2A1AA40C"/>
    <w:lvl w:ilvl="0" w:tplc="17EC2C9A">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7A306152"/>
    <w:multiLevelType w:val="multilevel"/>
    <w:tmpl w:val="BF6AE716"/>
    <w:lvl w:ilvl="0">
      <w:start w:val="2"/>
      <w:numFmt w:val="decimal"/>
      <w:lvlText w:val="%1"/>
      <w:lvlJc w:val="left"/>
      <w:pPr>
        <w:ind w:left="468" w:hanging="468"/>
      </w:pPr>
      <w:rPr>
        <w:rFonts w:hint="default"/>
      </w:rPr>
    </w:lvl>
    <w:lvl w:ilvl="1">
      <w:start w:val="4"/>
      <w:numFmt w:val="decimalZero"/>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3"/>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379C9"/>
    <w:rsid w:val="00065EA2"/>
    <w:rsid w:val="00121AA4"/>
    <w:rsid w:val="001235C3"/>
    <w:rsid w:val="00150635"/>
    <w:rsid w:val="00170791"/>
    <w:rsid w:val="00226B10"/>
    <w:rsid w:val="00314F6D"/>
    <w:rsid w:val="00331815"/>
    <w:rsid w:val="003E69C2"/>
    <w:rsid w:val="00425202"/>
    <w:rsid w:val="00441B53"/>
    <w:rsid w:val="004448C5"/>
    <w:rsid w:val="00453998"/>
    <w:rsid w:val="004B540D"/>
    <w:rsid w:val="005455A6"/>
    <w:rsid w:val="005D0020"/>
    <w:rsid w:val="005E36F8"/>
    <w:rsid w:val="00606E14"/>
    <w:rsid w:val="006C50B4"/>
    <w:rsid w:val="00742555"/>
    <w:rsid w:val="00767751"/>
    <w:rsid w:val="00787F24"/>
    <w:rsid w:val="007A4E37"/>
    <w:rsid w:val="007A53AF"/>
    <w:rsid w:val="007F67E1"/>
    <w:rsid w:val="00864896"/>
    <w:rsid w:val="00881909"/>
    <w:rsid w:val="008E5E29"/>
    <w:rsid w:val="0090099E"/>
    <w:rsid w:val="00910F6D"/>
    <w:rsid w:val="009716ED"/>
    <w:rsid w:val="009C052E"/>
    <w:rsid w:val="009E7C86"/>
    <w:rsid w:val="00A07FCF"/>
    <w:rsid w:val="00A136DA"/>
    <w:rsid w:val="00A52618"/>
    <w:rsid w:val="00AC4A09"/>
    <w:rsid w:val="00B155A8"/>
    <w:rsid w:val="00B614C0"/>
    <w:rsid w:val="00BB1EF7"/>
    <w:rsid w:val="00BB3F7D"/>
    <w:rsid w:val="00C06DED"/>
    <w:rsid w:val="00C30DA8"/>
    <w:rsid w:val="00C74F14"/>
    <w:rsid w:val="00CB7860"/>
    <w:rsid w:val="00D11EF9"/>
    <w:rsid w:val="00D744ED"/>
    <w:rsid w:val="00DC04AB"/>
    <w:rsid w:val="00DC2655"/>
    <w:rsid w:val="00EC2B18"/>
    <w:rsid w:val="00EF23E8"/>
    <w:rsid w:val="00F95061"/>
    <w:rsid w:val="00FF4F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EC5E69"/>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DC265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C2655"/>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C2655"/>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uiPriority w:val="9"/>
    <w:semiHidden/>
    <w:rsid w:val="00DC2655"/>
    <w:rPr>
      <w:rFonts w:asciiTheme="majorHAnsi" w:eastAsiaTheme="majorEastAsia" w:hAnsiTheme="majorHAnsi" w:cstheme="majorBidi"/>
      <w:color w:val="243F60" w:themeColor="accent1" w:themeShade="7F"/>
      <w:sz w:val="24"/>
      <w:szCs w:val="24"/>
      <w:lang w:val="en-US"/>
    </w:rPr>
  </w:style>
  <w:style w:type="table" w:customStyle="1" w:styleId="TableGrid1">
    <w:name w:val="Table Grid1"/>
    <w:basedOn w:val="TableNormal"/>
    <w:next w:val="TableGrid"/>
    <w:rsid w:val="001235C3"/>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6E14"/>
    <w:rPr>
      <w:sz w:val="16"/>
      <w:szCs w:val="16"/>
    </w:rPr>
  </w:style>
  <w:style w:type="paragraph" w:styleId="CommentText">
    <w:name w:val="annotation text"/>
    <w:basedOn w:val="Normal"/>
    <w:link w:val="CommentTextChar"/>
    <w:uiPriority w:val="99"/>
    <w:semiHidden/>
    <w:unhideWhenUsed/>
    <w:rsid w:val="00606E14"/>
    <w:rPr>
      <w:sz w:val="20"/>
      <w:szCs w:val="20"/>
    </w:rPr>
  </w:style>
  <w:style w:type="character" w:customStyle="1" w:styleId="CommentTextChar">
    <w:name w:val="Comment Text Char"/>
    <w:basedOn w:val="DefaultParagraphFont"/>
    <w:link w:val="CommentText"/>
    <w:uiPriority w:val="99"/>
    <w:semiHidden/>
    <w:rsid w:val="00606E14"/>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06E14"/>
    <w:rPr>
      <w:b/>
      <w:bCs/>
    </w:rPr>
  </w:style>
  <w:style w:type="character" w:customStyle="1" w:styleId="CommentSubjectChar">
    <w:name w:val="Comment Subject Char"/>
    <w:basedOn w:val="CommentTextChar"/>
    <w:link w:val="CommentSubject"/>
    <w:uiPriority w:val="99"/>
    <w:semiHidden/>
    <w:rsid w:val="00606E14"/>
    <w:rPr>
      <w:rFonts w:ascii="Arial" w:eastAsia="Times New Roman" w:hAnsi="Arial"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cords_x0020_Classification xmlns="e63dacc3-515c-4cce-91e5-d3c507c5e648">6</Records_x0020_Classification>
    <COKL_x0020_Division xmlns="e63dacc3-515c-4cce-91e5-d3c507c5e648">14</COKL_x0020_Division>
    <COKL_x0020_Department xmlns="e63dacc3-515c-4cce-91e5-d3c507c5e648">5</COKL_x0020_Department>
    <Effective_x0020_Date xmlns="e63dacc3-515c-4cce-91e5-d3c507c5e648">2018-09-25T04:00:00+00:00</Effective_x0020_Date>
    <Policy_x0020_Number xmlns="e63dacc3-515c-4cce-91e5-d3c507c5e648">CP2018-015</Policy_x0020_Number>
    <Related_x0020_Procedure xmlns="e63dacc3-515c-4cce-91e5-d3c507c5e648" xsi:nil="true"/>
    <Approval_x0020_Date xmlns="e63dacc3-515c-4cce-91e5-d3c507c5e648">2018-09-25T04:00:00+00:00</Approval_x0020_Date>
    <Related_x0020_Policy xmlns="e63dacc3-515c-4cce-91e5-d3c507c5e648" xsi:nil="true"/>
    <Policy_x0020_Name xmlns="e63dacc3-515c-4cce-91e5-d3c507c5e648">Council Computer Systems Policy</Policy_x0020_Name>
    <Policy_x0020_Category xmlns="e63dacc3-515c-4cce-91e5-d3c507c5e648">Section A - Administration</Policy_x0020_Category>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Policy" ma:contentTypeID="0x010100E24A556774E52E4FBFF9E8F286F22CDF09002E1E36AF83C5464C8B6D7CF5C0419972" ma:contentTypeVersion="28" ma:contentTypeDescription="" ma:contentTypeScope="" ma:versionID="bb204323bda44d78019e56f2b7ec0ba4">
  <xsd:schema xmlns:xsd="http://www.w3.org/2001/XMLSchema" xmlns:xs="http://www.w3.org/2001/XMLSchema" xmlns:p="http://schemas.microsoft.com/office/2006/metadata/properties" xmlns:ns2="e63dacc3-515c-4cce-91e5-d3c507c5e648" xmlns:ns3="3a4dff7f-e1df-4b8c-833d-e1f80b098c4f" targetNamespace="http://schemas.microsoft.com/office/2006/metadata/properties" ma:root="true" ma:fieldsID="daa4dbbd7d2acf2f77f5b39083bd8897" ns2:_="" ns3:_="">
    <xsd:import namespace="e63dacc3-515c-4cce-91e5-d3c507c5e648"/>
    <xsd:import namespace="3a4dff7f-e1df-4b8c-833d-e1f80b098c4f"/>
    <xsd:element name="properties">
      <xsd:complexType>
        <xsd:sequence>
          <xsd:element name="documentManagement">
            <xsd:complexType>
              <xsd:all>
                <xsd:element ref="ns2:Records_x0020_Classification" minOccurs="0"/>
                <xsd:element ref="ns2:COKL_x0020_Division" minOccurs="0"/>
                <xsd:element ref="ns2:Approval_x0020_Date" minOccurs="0"/>
                <xsd:element ref="ns2:Effective_x0020_Date" minOccurs="0"/>
                <xsd:element ref="ns2:COKL_x0020_Department" minOccurs="0"/>
                <xsd:element ref="ns2:Policy_x0020_Number" minOccurs="0"/>
                <xsd:element ref="ns2:Policy_x0020_Name" minOccurs="0"/>
                <xsd:element ref="ns2:Policy_x0020_Category" minOccurs="0"/>
                <xsd:element ref="ns2:Related_x0020_Policy" minOccurs="0"/>
                <xsd:element ref="ns2:Related_x0020_Procedure"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2"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3" nillable="true" ma:displayName="Approval Date" ma:default="[today]" ma:format="DateOnly" ma:internalName="Approval_x0020_Date" ma:readOnly="false">
      <xsd:simpleType>
        <xsd:restriction base="dms:DateTime"/>
      </xsd:simpleType>
    </xsd:element>
    <xsd:element name="Effective_x0020_Date" ma:index="4" nillable="true" ma:displayName="Effective Date" ma:default="[today]" ma:format="DateOnly" ma:internalName="Effective_x0020_Date" ma:readOnly="false">
      <xsd:simpleType>
        <xsd:restriction base="dms:DateTime"/>
      </xsd:simpleType>
    </xsd:element>
    <xsd:element name="COKL_x0020_Department" ma:index="5"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6" nillable="true" ma:displayName="Policy Number" ma:internalName="Policy_x0020_Number" ma:readOnly="false">
      <xsd:simpleType>
        <xsd:restriction base="dms:Text">
          <xsd:maxLength value="255"/>
        </xsd:restriction>
      </xsd:simpleType>
    </xsd:element>
    <xsd:element name="Policy_x0020_Name" ma:index="7" nillable="true" ma:displayName="Policy Name" ma:internalName="Policy_x0020_Name" ma:readOnly="false">
      <xsd:simpleType>
        <xsd:restriction base="dms:Text">
          <xsd:maxLength value="255"/>
        </xsd:restriction>
      </xsd:simpleType>
    </xsd:element>
    <xsd:element name="Policy_x0020_Category" ma:index="8"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9" nillable="true" ma:displayName="Related Policy" ma:internalName="Related_x0020_Policy" ma:readOnly="false">
      <xsd:simpleType>
        <xsd:restriction base="dms:Note">
          <xsd:maxLength value="255"/>
        </xsd:restriction>
      </xsd:simpleType>
    </xsd:element>
    <xsd:element name="Related_x0020_Procedure" ma:index="10"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dff7f-e1df-4b8c-833d-e1f80b098c4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AA386B-2E1F-41A5-A116-13C235F3FC5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a4dff7f-e1df-4b8c-833d-e1f80b098c4f"/>
    <ds:schemaRef ds:uri="e63dacc3-515c-4cce-91e5-d3c507c5e648"/>
    <ds:schemaRef ds:uri="http://www.w3.org/XML/1998/namespace"/>
    <ds:schemaRef ds:uri="http://purl.org/dc/dcmitype/"/>
  </ds:schemaRefs>
</ds:datastoreItem>
</file>

<file path=customXml/itemProps2.xml><?xml version="1.0" encoding="utf-8"?>
<ds:datastoreItem xmlns:ds="http://schemas.openxmlformats.org/officeDocument/2006/customXml" ds:itemID="{928E6373-1A6B-4576-9C1D-30D16DC930F5}">
  <ds:schemaRefs>
    <ds:schemaRef ds:uri="http://schemas.microsoft.com/sharepoint/v3/contenttype/forms"/>
  </ds:schemaRefs>
</ds:datastoreItem>
</file>

<file path=customXml/itemProps3.xml><?xml version="1.0" encoding="utf-8"?>
<ds:datastoreItem xmlns:ds="http://schemas.openxmlformats.org/officeDocument/2006/customXml" ds:itemID="{90FCA371-586F-4D7E-84AC-74DDCD385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dacc3-515c-4cce-91e5-d3c507c5e648"/>
    <ds:schemaRef ds:uri="3a4dff7f-e1df-4b8c-833d-e1f80b098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1498</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Constance Ellison</cp:lastModifiedBy>
  <cp:revision>2</cp:revision>
  <cp:lastPrinted>2024-07-09T14:23:00Z</cp:lastPrinted>
  <dcterms:created xsi:type="dcterms:W3CDTF">2025-02-05T17:13:00Z</dcterms:created>
  <dcterms:modified xsi:type="dcterms:W3CDTF">2025-02-05T17:13:00Z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0x010100E24A556774E52E4FBFF9E8F286F22CDF09002E1E36AF83C5464C8B6D7CF5C0419972</vt:lpwstr>
  </property>
  <property fmtid="{D5CDD505-2E9C-101B-9397-08002B2CF9AE}" pid="3" name="_dlc_DocIdItemGuid">
    <vt:lpwstr>3d1b7ccc-e445-45f0-8dfd-c44177112871</vt:lpwstr>
  </property>
  <property fmtid="{D5CDD505-2E9C-101B-9397-08002B2CF9AE}" pid="4" name="Order">
    <vt:r8>800</vt:r8>
  </property>
  <property fmtid="{D5CDD505-2E9C-101B-9397-08002B2CF9AE}" pid="5" name="_ExtendedDescription">
    <vt:lpwstr/>
  </property>
  <property fmtid="{D5CDD505-2E9C-101B-9397-08002B2CF9AE}" pid="6" name="Policy Type">
    <vt:lpwstr>Corporate</vt:lpwstr>
  </property>
  <property fmtid="{D5CDD505-2E9C-101B-9397-08002B2CF9AE}" pid="7" name="Policy Sub Category">
    <vt:lpwstr>A.06 - Procedures, Policies and Studies</vt:lpwstr>
  </property>
</Properties>
</file>