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with two colums.  Reads left to right.  The column on the right will contain information prompted by the column on the left."/>
      </w:tblPr>
      <w:tblGrid>
        <w:gridCol w:w="4679"/>
        <w:gridCol w:w="4671"/>
      </w:tblGrid>
      <w:tr w:rsidR="0090099E" w:rsidTr="0014338C">
        <w:trPr>
          <w:trHeight w:val="521"/>
        </w:trPr>
        <w:tc>
          <w:tcPr>
            <w:tcW w:w="4679" w:type="dxa"/>
            <w:vAlign w:val="center"/>
          </w:tcPr>
          <w:p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No.:</w:t>
            </w:r>
          </w:p>
        </w:tc>
        <w:tc>
          <w:tcPr>
            <w:tcW w:w="4671" w:type="dxa"/>
            <w:vAlign w:val="center"/>
          </w:tcPr>
          <w:p w:rsidR="0090099E" w:rsidRDefault="00035688" w:rsidP="00FE48B2">
            <w:pPr>
              <w:rPr>
                <w:rFonts w:cs="Arial"/>
              </w:rPr>
            </w:pPr>
            <w:r>
              <w:rPr>
                <w:rFonts w:cs="Arial"/>
              </w:rPr>
              <w:t>CP2024-009</w:t>
            </w:r>
          </w:p>
        </w:tc>
      </w:tr>
      <w:tr w:rsidR="0090099E" w:rsidTr="0014338C">
        <w:trPr>
          <w:trHeight w:val="539"/>
        </w:trPr>
        <w:tc>
          <w:tcPr>
            <w:tcW w:w="4679" w:type="dxa"/>
            <w:vAlign w:val="center"/>
          </w:tcPr>
          <w:p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Name:</w:t>
            </w:r>
          </w:p>
        </w:tc>
        <w:tc>
          <w:tcPr>
            <w:tcW w:w="4671" w:type="dxa"/>
            <w:vAlign w:val="center"/>
          </w:tcPr>
          <w:p w:rsidR="0090099E" w:rsidRDefault="00B4785B" w:rsidP="00FE48B2">
            <w:pPr>
              <w:rPr>
                <w:rFonts w:cs="Arial"/>
              </w:rPr>
            </w:pPr>
            <w:r>
              <w:rPr>
                <w:rFonts w:cs="Arial"/>
              </w:rPr>
              <w:t>Operating Surplus Disposition Policy</w:t>
            </w:r>
          </w:p>
        </w:tc>
      </w:tr>
      <w:tr w:rsidR="0090099E" w:rsidTr="0014338C">
        <w:trPr>
          <w:trHeight w:val="530"/>
        </w:trPr>
        <w:tc>
          <w:tcPr>
            <w:tcW w:w="4679" w:type="dxa"/>
            <w:vAlign w:val="center"/>
          </w:tcPr>
          <w:p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Date Approved by Council:</w:t>
            </w:r>
          </w:p>
        </w:tc>
        <w:tc>
          <w:tcPr>
            <w:tcW w:w="4671" w:type="dxa"/>
            <w:vAlign w:val="center"/>
          </w:tcPr>
          <w:p w:rsidR="0090099E" w:rsidRDefault="00035688" w:rsidP="005B54AF">
            <w:pPr>
              <w:rPr>
                <w:rFonts w:cs="Arial"/>
              </w:rPr>
            </w:pPr>
            <w:r>
              <w:rPr>
                <w:rFonts w:cs="Arial"/>
              </w:rPr>
              <w:t>October 22, 202</w:t>
            </w:r>
            <w:r w:rsidR="005B54AF">
              <w:rPr>
                <w:rFonts w:cs="Arial"/>
              </w:rPr>
              <w:t>4</w:t>
            </w:r>
            <w:bookmarkStart w:id="0" w:name="_GoBack"/>
            <w:bookmarkEnd w:id="0"/>
            <w:r>
              <w:rPr>
                <w:rFonts w:cs="Arial"/>
              </w:rPr>
              <w:t>, CR2024-614</w:t>
            </w:r>
          </w:p>
        </w:tc>
      </w:tr>
      <w:tr w:rsidR="0090099E" w:rsidTr="0014338C">
        <w:trPr>
          <w:trHeight w:val="530"/>
        </w:trPr>
        <w:tc>
          <w:tcPr>
            <w:tcW w:w="4679" w:type="dxa"/>
            <w:vAlign w:val="center"/>
          </w:tcPr>
          <w:p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Date revision approved by Council:</w:t>
            </w:r>
          </w:p>
        </w:tc>
        <w:tc>
          <w:tcPr>
            <w:tcW w:w="4671" w:type="dxa"/>
            <w:vAlign w:val="center"/>
          </w:tcPr>
          <w:p w:rsidR="0090099E" w:rsidRDefault="0090099E" w:rsidP="00FE48B2">
            <w:pPr>
              <w:rPr>
                <w:rFonts w:cs="Arial"/>
              </w:rPr>
            </w:pPr>
          </w:p>
        </w:tc>
      </w:tr>
      <w:tr w:rsidR="0090099E" w:rsidTr="0014338C">
        <w:tc>
          <w:tcPr>
            <w:tcW w:w="4679" w:type="dxa"/>
            <w:vAlign w:val="center"/>
          </w:tcPr>
          <w:p w:rsidR="0090099E" w:rsidRDefault="0090099E" w:rsidP="00FE48B2">
            <w:pPr>
              <w:rPr>
                <w:rFonts w:cs="Arial"/>
              </w:rPr>
            </w:pPr>
            <w:r w:rsidRPr="00677D1E">
              <w:rPr>
                <w:rFonts w:cs="Arial"/>
              </w:rPr>
              <w:t>Related SOP, Management Directive, Council Policy, Forms</w:t>
            </w:r>
          </w:p>
        </w:tc>
        <w:tc>
          <w:tcPr>
            <w:tcW w:w="4671" w:type="dxa"/>
            <w:vAlign w:val="center"/>
          </w:tcPr>
          <w:p w:rsidR="0090099E" w:rsidRDefault="0090099E" w:rsidP="00FE48B2">
            <w:pPr>
              <w:rPr>
                <w:rFonts w:cs="Arial"/>
              </w:rPr>
            </w:pPr>
          </w:p>
        </w:tc>
      </w:tr>
    </w:tbl>
    <w:p w:rsidR="0090099E" w:rsidRPr="00B35B90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</w:rPr>
      </w:pPr>
      <w:r w:rsidRPr="00B35B90">
        <w:rPr>
          <w:rFonts w:eastAsiaTheme="majorEastAsia" w:cstheme="majorBidi"/>
          <w:b/>
          <w:bCs/>
          <w:color w:val="2C3D7A"/>
        </w:rPr>
        <w:t>Policy Statement and Rationale:</w:t>
      </w:r>
    </w:p>
    <w:p w:rsidR="00B4785B" w:rsidRPr="00B35B90" w:rsidRDefault="00B4785B" w:rsidP="00035688">
      <w:pPr>
        <w:rPr>
          <w:b/>
          <w:bCs/>
        </w:rPr>
      </w:pPr>
      <w:r w:rsidRPr="00B35B90">
        <w:t xml:space="preserve">Through </w:t>
      </w:r>
      <w:r w:rsidR="005A1C6C">
        <w:t xml:space="preserve">the </w:t>
      </w:r>
      <w:r w:rsidRPr="00B35B90">
        <w:t>annual budget</w:t>
      </w:r>
      <w:r w:rsidR="005A1C6C">
        <w:t xml:space="preserve"> process</w:t>
      </w:r>
      <w:r w:rsidRPr="00B35B90">
        <w:t xml:space="preserve">, the Municipality aims to be fiscally responsible while providing service excellence. Occasionally, annual surpluses are experienced and represent one-time funding that </w:t>
      </w:r>
      <w:r w:rsidR="005A1C6C">
        <w:t>creates a strategic opportunity to contribute funds to reserves. The creation of</w:t>
      </w:r>
      <w:r w:rsidRPr="00B35B90">
        <w:t xml:space="preserve"> an Operating Surplus Disposition Policy</w:t>
      </w:r>
      <w:r w:rsidR="005A1C6C">
        <w:t xml:space="preserve"> provides</w:t>
      </w:r>
      <w:r w:rsidRPr="00B35B90">
        <w:t xml:space="preserve"> the Municipality </w:t>
      </w:r>
      <w:r w:rsidR="005A1C6C">
        <w:t>with a financing source for</w:t>
      </w:r>
      <w:r w:rsidRPr="00B35B90">
        <w:t xml:space="preserve"> occasional deficits </w:t>
      </w:r>
      <w:r w:rsidR="005A1C6C">
        <w:t>and streamlining fluctuations in operating budgets</w:t>
      </w:r>
      <w:r w:rsidRPr="00B35B90">
        <w:t xml:space="preserve">. </w:t>
      </w:r>
    </w:p>
    <w:p w:rsidR="00B4785B" w:rsidRPr="00B35B90" w:rsidRDefault="00B4785B" w:rsidP="00B4785B">
      <w:r w:rsidRPr="00B35B90">
        <w:t>The purpose of this policy i</w:t>
      </w:r>
      <w:r w:rsidR="005A1C6C">
        <w:t xml:space="preserve">s to provide standard practice to address </w:t>
      </w:r>
      <w:r w:rsidRPr="00B35B90">
        <w:t xml:space="preserve">operating budget surpluses to </w:t>
      </w:r>
      <w:r w:rsidR="005A1C6C">
        <w:t xml:space="preserve">increase </w:t>
      </w:r>
      <w:r w:rsidRPr="00B35B90">
        <w:t xml:space="preserve">the </w:t>
      </w:r>
      <w:r w:rsidR="005A1C6C">
        <w:t>City’s</w:t>
      </w:r>
      <w:r w:rsidRPr="00B35B90">
        <w:t xml:space="preserve"> </w:t>
      </w:r>
      <w:r w:rsidR="005A1C6C">
        <w:t>flexibility</w:t>
      </w:r>
      <w:r w:rsidRPr="00B35B90">
        <w:t xml:space="preserve"> to </w:t>
      </w:r>
      <w:r w:rsidR="005A1C6C">
        <w:t xml:space="preserve">address </w:t>
      </w:r>
      <w:r w:rsidRPr="00B35B90">
        <w:t xml:space="preserve">uncontrollable external factors and provide </w:t>
      </w:r>
      <w:r w:rsidR="005A1C6C">
        <w:t>a mitigation strategy</w:t>
      </w:r>
      <w:r w:rsidRPr="00B35B90">
        <w:t xml:space="preserve"> to respond to future needs. </w:t>
      </w:r>
    </w:p>
    <w:p w:rsidR="0090099E" w:rsidRPr="00B35B90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</w:rPr>
      </w:pPr>
      <w:r w:rsidRPr="00B35B90">
        <w:rPr>
          <w:rFonts w:eastAsiaTheme="majorEastAsia" w:cstheme="majorBidi"/>
          <w:b/>
          <w:bCs/>
          <w:color w:val="2C3D7A"/>
        </w:rPr>
        <w:t>Scope:</w:t>
      </w:r>
    </w:p>
    <w:p w:rsidR="00B4785B" w:rsidRPr="00B35B90" w:rsidRDefault="00B4785B" w:rsidP="00B4785B">
      <w:pPr>
        <w:overflowPunct w:val="0"/>
        <w:autoSpaceDE w:val="0"/>
        <w:autoSpaceDN w:val="0"/>
        <w:adjustRightInd w:val="0"/>
        <w:textAlignment w:val="baseline"/>
      </w:pPr>
      <w:r w:rsidRPr="00B35B90">
        <w:t>The Oper</w:t>
      </w:r>
      <w:r w:rsidR="00EE3E9D">
        <w:t xml:space="preserve">ating Surplus Policy applies </w:t>
      </w:r>
      <w:r w:rsidRPr="00B35B90">
        <w:t>only</w:t>
      </w:r>
      <w:r w:rsidR="00EE3E9D">
        <w:t xml:space="preserve"> to</w:t>
      </w:r>
      <w:r w:rsidRPr="00B35B90">
        <w:t xml:space="preserve"> the Municipality of the City of Kawartha Lakes and </w:t>
      </w:r>
      <w:proofErr w:type="gramStart"/>
      <w:r w:rsidRPr="00B35B90">
        <w:t>shall not be applied</w:t>
      </w:r>
      <w:proofErr w:type="gramEnd"/>
      <w:r w:rsidRPr="00B35B90">
        <w:t xml:space="preserve"> to its committees and outside boards for which Council is required to approve annual budgets. </w:t>
      </w:r>
    </w:p>
    <w:p w:rsidR="00B35B90" w:rsidRPr="00B35B90" w:rsidRDefault="00B35B90" w:rsidP="00B35B90">
      <w:pPr>
        <w:rPr>
          <w:rFonts w:cs="Arial"/>
          <w:b/>
          <w:color w:val="2C3D7A"/>
        </w:rPr>
      </w:pPr>
      <w:r w:rsidRPr="00B35B90">
        <w:rPr>
          <w:rFonts w:cs="Arial"/>
          <w:b/>
          <w:color w:val="2C3D7A"/>
        </w:rPr>
        <w:t>Definitions:</w:t>
      </w:r>
    </w:p>
    <w:p w:rsidR="00E7108F" w:rsidRDefault="00E7108F" w:rsidP="00E7108F">
      <w:r>
        <w:t>“City” or “Municipality” means the Corporation of the City of Kawartha Lakes.</w:t>
      </w:r>
    </w:p>
    <w:p w:rsidR="00E7108F" w:rsidRDefault="00E7108F" w:rsidP="00B35B90">
      <w:r>
        <w:t>“Council” means the municipal council for the City.</w:t>
      </w:r>
    </w:p>
    <w:p w:rsidR="00084C79" w:rsidRDefault="00084C79" w:rsidP="00B35B90">
      <w:r w:rsidRPr="009C4707">
        <w:t xml:space="preserve">“Operating budget” </w:t>
      </w:r>
      <w:r>
        <w:t>means, in accordance with the Municipal Act and as approved by Council,</w:t>
      </w:r>
      <w:r w:rsidRPr="009C4707">
        <w:t xml:space="preserve"> </w:t>
      </w:r>
      <w:r>
        <w:t>a plan of expenses and revenues for the provision of City services, including</w:t>
      </w:r>
      <w:r w:rsidRPr="009C4707">
        <w:t xml:space="preserve"> operat</w:t>
      </w:r>
      <w:r>
        <w:t>ion</w:t>
      </w:r>
      <w:r w:rsidRPr="009C4707">
        <w:t xml:space="preserve"> and mainten</w:t>
      </w:r>
      <w:r>
        <w:t>ance of assets</w:t>
      </w:r>
      <w:r w:rsidRPr="009C4707">
        <w:t>.</w:t>
      </w:r>
    </w:p>
    <w:p w:rsidR="00B35B90" w:rsidRDefault="00B35B90" w:rsidP="00B35B90">
      <w:r>
        <w:lastRenderedPageBreak/>
        <w:t>“Surplus (</w:t>
      </w:r>
      <w:r w:rsidRPr="009C4707">
        <w:t>Deficit</w:t>
      </w:r>
      <w:r>
        <w:t>)</w:t>
      </w:r>
      <w:r w:rsidRPr="009C4707">
        <w:t>” mean</w:t>
      </w:r>
      <w:r>
        <w:t>s</w:t>
      </w:r>
      <w:r w:rsidRPr="009C4707">
        <w:t xml:space="preserve"> the positive </w:t>
      </w:r>
      <w:r>
        <w:t>(negative)</w:t>
      </w:r>
      <w:r w:rsidRPr="009C4707">
        <w:t xml:space="preserve"> budget balance in a</w:t>
      </w:r>
      <w:r>
        <w:t>n operating segment.</w:t>
      </w:r>
    </w:p>
    <w:p w:rsidR="00B35B90" w:rsidRPr="00B35B90" w:rsidRDefault="00E7108F" w:rsidP="0014338C">
      <w:r>
        <w:t>“Treasurer” means the person who holds that position and his or her delegate(s) or, in the event of organizational changes, another person designated by Council;</w:t>
      </w:r>
    </w:p>
    <w:p w:rsidR="00B35B90" w:rsidRPr="00B35B90" w:rsidRDefault="00B35B90" w:rsidP="00B35B90">
      <w:pPr>
        <w:overflowPunct w:val="0"/>
        <w:autoSpaceDE w:val="0"/>
        <w:autoSpaceDN w:val="0"/>
        <w:adjustRightInd w:val="0"/>
        <w:ind w:left="720" w:hanging="720"/>
        <w:textAlignment w:val="baseline"/>
      </w:pPr>
      <w:r w:rsidRPr="00B35B90">
        <w:rPr>
          <w:rFonts w:eastAsiaTheme="majorEastAsia" w:cstheme="majorBidi"/>
          <w:b/>
          <w:bCs/>
          <w:color w:val="2C3D7A"/>
        </w:rPr>
        <w:t>Policy:</w:t>
      </w:r>
    </w:p>
    <w:p w:rsidR="005B0D93" w:rsidRPr="005B0D93" w:rsidRDefault="005B0D93" w:rsidP="005B0D93">
      <w:pPr>
        <w:pStyle w:val="ListParagraph"/>
        <w:numPr>
          <w:ilvl w:val="0"/>
          <w:numId w:val="2"/>
        </w:numPr>
        <w:rPr>
          <w:rFonts w:cs="Arial"/>
          <w:b/>
          <w:color w:val="2C3D7A"/>
        </w:rPr>
      </w:pPr>
      <w:r w:rsidRPr="005B0D93">
        <w:rPr>
          <w:rFonts w:cs="Arial"/>
          <w:b/>
          <w:color w:val="2C3D7A"/>
        </w:rPr>
        <w:t>Responsibilities</w:t>
      </w:r>
    </w:p>
    <w:p w:rsidR="005B0D93" w:rsidRPr="007140A4" w:rsidRDefault="005B0D93" w:rsidP="00CC2A1C">
      <w:pPr>
        <w:numPr>
          <w:ilvl w:val="1"/>
          <w:numId w:val="2"/>
        </w:numPr>
        <w:overflowPunct w:val="0"/>
        <w:autoSpaceDE w:val="0"/>
        <w:autoSpaceDN w:val="0"/>
        <w:adjustRightInd w:val="0"/>
        <w:ind w:left="720" w:hanging="720"/>
        <w:textAlignment w:val="baseline"/>
        <w:rPr>
          <w:bCs/>
        </w:rPr>
      </w:pPr>
      <w:r>
        <w:rPr>
          <w:bCs/>
        </w:rPr>
        <w:t>The Treasurer or their designate has the authority to allocate the Operating Surplus (or Deficit) as approved under Section 2 of this Policy.</w:t>
      </w:r>
    </w:p>
    <w:p w:rsidR="005B0D93" w:rsidRPr="007140A4" w:rsidRDefault="005B0D93" w:rsidP="00CC2A1C">
      <w:pPr>
        <w:numPr>
          <w:ilvl w:val="1"/>
          <w:numId w:val="2"/>
        </w:numPr>
        <w:overflowPunct w:val="0"/>
        <w:autoSpaceDE w:val="0"/>
        <w:autoSpaceDN w:val="0"/>
        <w:adjustRightInd w:val="0"/>
        <w:ind w:left="720" w:hanging="720"/>
        <w:textAlignment w:val="baseline"/>
        <w:rPr>
          <w:bCs/>
        </w:rPr>
      </w:pPr>
      <w:r>
        <w:rPr>
          <w:bCs/>
        </w:rPr>
        <w:t xml:space="preserve">The Treasurer or their designate has the responsibility to provide Council with an annual report on the disposition of the Operating Surplus. </w:t>
      </w:r>
    </w:p>
    <w:p w:rsidR="005B0D93" w:rsidRPr="005B0D93" w:rsidRDefault="005B0D93" w:rsidP="005B0D93">
      <w:pPr>
        <w:pStyle w:val="ListParagraph"/>
        <w:numPr>
          <w:ilvl w:val="0"/>
          <w:numId w:val="2"/>
        </w:numPr>
        <w:rPr>
          <w:rFonts w:cs="Arial"/>
          <w:b/>
          <w:color w:val="2C3D7A"/>
        </w:rPr>
      </w:pPr>
      <w:r w:rsidRPr="005B0D93">
        <w:rPr>
          <w:rFonts w:cs="Arial"/>
          <w:b/>
          <w:color w:val="2C3D7A"/>
        </w:rPr>
        <w:t>General Guidelines</w:t>
      </w:r>
    </w:p>
    <w:p w:rsidR="005B0D93" w:rsidRPr="007140A4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</w:pPr>
      <w:r>
        <w:t>2.01</w:t>
      </w:r>
      <w:r>
        <w:tab/>
      </w:r>
      <w:r w:rsidR="0014338C">
        <w:t>Annual o</w:t>
      </w:r>
      <w:r>
        <w:t xml:space="preserve">perating surpluses </w:t>
      </w:r>
      <w:proofErr w:type="gramStart"/>
      <w:r>
        <w:t>sh</w:t>
      </w:r>
      <w:r w:rsidR="0014338C">
        <w:t>all</w:t>
      </w:r>
      <w:r>
        <w:t xml:space="preserve"> be considered and allocated pursuant to 2.02 to 2.1</w:t>
      </w:r>
      <w:r w:rsidR="00C76A39">
        <w:t>5</w:t>
      </w:r>
      <w:proofErr w:type="gramEnd"/>
      <w:r w:rsidR="0014338C">
        <w:t>.</w:t>
      </w:r>
      <w:r>
        <w:t xml:space="preserve"> </w:t>
      </w:r>
      <w:r w:rsidR="0014338C">
        <w:t>The</w:t>
      </w:r>
      <w:r>
        <w:t xml:space="preserve"> net operating </w:t>
      </w:r>
      <w:r w:rsidR="00C76A39">
        <w:t>surplus</w:t>
      </w:r>
      <w:r w:rsidR="0014338C">
        <w:t xml:space="preserve"> will</w:t>
      </w:r>
      <w:r>
        <w:t xml:space="preserve"> be disposed </w:t>
      </w:r>
      <w:r w:rsidR="00CC2A1C">
        <w:t xml:space="preserve">of </w:t>
      </w:r>
      <w:r>
        <w:t>pursuant to 2.1</w:t>
      </w:r>
      <w:r w:rsidR="00C76A39">
        <w:t>6</w:t>
      </w:r>
      <w:r>
        <w:t>.</w:t>
      </w:r>
    </w:p>
    <w:p w:rsidR="005B0D93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</w:pPr>
      <w:r>
        <w:t>2.02</w:t>
      </w:r>
      <w:r>
        <w:tab/>
      </w:r>
      <w:r w:rsidR="005A1C6C">
        <w:t xml:space="preserve">Underutilized </w:t>
      </w:r>
      <w:r>
        <w:t xml:space="preserve">budget debt payments </w:t>
      </w:r>
      <w:proofErr w:type="gramStart"/>
      <w:r>
        <w:t>shall be transferred</w:t>
      </w:r>
      <w:proofErr w:type="gramEnd"/>
      <w:r>
        <w:t xml:space="preserve"> to the General Tax Stabilization Reserve, committed to debt payments. Similarly, in years where the </w:t>
      </w:r>
      <w:r w:rsidR="005A1C6C">
        <w:t>City</w:t>
      </w:r>
      <w:r>
        <w:t xml:space="preserve"> experiences unfor</w:t>
      </w:r>
      <w:r w:rsidR="00C76A39">
        <w:t>eseen increases in debt payment,</w:t>
      </w:r>
      <w:r>
        <w:t xml:space="preserve"> transfers from the General Tax Stabilization Reserve, committed to debt payments</w:t>
      </w:r>
      <w:r w:rsidR="00C76A39">
        <w:t>,</w:t>
      </w:r>
      <w:r>
        <w:t xml:space="preserve"> </w:t>
      </w:r>
      <w:proofErr w:type="gramStart"/>
      <w:r>
        <w:t>will be made</w:t>
      </w:r>
      <w:proofErr w:type="gramEnd"/>
      <w:r>
        <w:t xml:space="preserve"> to offset said increases. </w:t>
      </w:r>
    </w:p>
    <w:p w:rsidR="005B0D93" w:rsidRPr="007140A4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bCs/>
        </w:rPr>
      </w:pPr>
      <w:r w:rsidRPr="007140A4">
        <w:rPr>
          <w:bCs/>
        </w:rPr>
        <w:t>2.0</w:t>
      </w:r>
      <w:r>
        <w:rPr>
          <w:bCs/>
        </w:rPr>
        <w:t>3</w:t>
      </w:r>
      <w:r w:rsidRPr="007140A4">
        <w:rPr>
          <w:bCs/>
        </w:rPr>
        <w:tab/>
      </w:r>
      <w:r>
        <w:rPr>
          <w:bCs/>
        </w:rPr>
        <w:t xml:space="preserve">Surplus </w:t>
      </w:r>
      <w:r w:rsidR="005A1C6C">
        <w:rPr>
          <w:bCs/>
        </w:rPr>
        <w:t>incurred</w:t>
      </w:r>
      <w:r>
        <w:rPr>
          <w:bCs/>
        </w:rPr>
        <w:t xml:space="preserve"> from the sale of land </w:t>
      </w:r>
      <w:proofErr w:type="gramStart"/>
      <w:r w:rsidR="0014338C">
        <w:rPr>
          <w:bCs/>
        </w:rPr>
        <w:t>shall</w:t>
      </w:r>
      <w:r>
        <w:rPr>
          <w:bCs/>
        </w:rPr>
        <w:t xml:space="preserve"> be allocated</w:t>
      </w:r>
      <w:proofErr w:type="gramEnd"/>
      <w:r>
        <w:rPr>
          <w:bCs/>
        </w:rPr>
        <w:t xml:space="preserve"> to the Property Development Reserve. </w:t>
      </w:r>
    </w:p>
    <w:p w:rsidR="005B0D93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bCs/>
        </w:rPr>
      </w:pPr>
      <w:r w:rsidRPr="007140A4">
        <w:rPr>
          <w:bCs/>
        </w:rPr>
        <w:t>2.0</w:t>
      </w:r>
      <w:r>
        <w:rPr>
          <w:bCs/>
        </w:rPr>
        <w:t>4</w:t>
      </w:r>
      <w:r w:rsidRPr="007140A4">
        <w:rPr>
          <w:bCs/>
        </w:rPr>
        <w:tab/>
      </w:r>
      <w:r>
        <w:rPr>
          <w:bCs/>
        </w:rPr>
        <w:t xml:space="preserve">Revenue from Fenelon Falls Hydro Generation </w:t>
      </w:r>
      <w:proofErr w:type="gramStart"/>
      <w:r w:rsidR="0014338C">
        <w:rPr>
          <w:bCs/>
        </w:rPr>
        <w:t>shal</w:t>
      </w:r>
      <w:r>
        <w:rPr>
          <w:bCs/>
        </w:rPr>
        <w:t>l be allocated</w:t>
      </w:r>
      <w:proofErr w:type="gramEnd"/>
      <w:r>
        <w:rPr>
          <w:bCs/>
        </w:rPr>
        <w:t xml:space="preserve"> to the Fenelon Falls </w:t>
      </w:r>
      <w:proofErr w:type="spellStart"/>
      <w:r>
        <w:rPr>
          <w:bCs/>
        </w:rPr>
        <w:t>Powerlink</w:t>
      </w:r>
      <w:proofErr w:type="spellEnd"/>
      <w:r>
        <w:rPr>
          <w:bCs/>
        </w:rPr>
        <w:t xml:space="preserve"> Reserve. </w:t>
      </w:r>
    </w:p>
    <w:p w:rsidR="005B0D93" w:rsidRPr="007140A4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</w:pPr>
      <w:r>
        <w:t>2.05</w:t>
      </w:r>
      <w:r>
        <w:tab/>
        <w:t xml:space="preserve">Licensing fees generated from the Norland Dam </w:t>
      </w:r>
      <w:proofErr w:type="gramStart"/>
      <w:r>
        <w:t>shall be allocated</w:t>
      </w:r>
      <w:proofErr w:type="gramEnd"/>
      <w:r>
        <w:t xml:space="preserve"> to the Norland Dam Reserve. </w:t>
      </w:r>
    </w:p>
    <w:p w:rsidR="005B0D93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bCs/>
        </w:rPr>
      </w:pPr>
      <w:r w:rsidRPr="007140A4">
        <w:rPr>
          <w:bCs/>
        </w:rPr>
        <w:t>2.0</w:t>
      </w:r>
      <w:r>
        <w:rPr>
          <w:bCs/>
        </w:rPr>
        <w:t>6</w:t>
      </w:r>
      <w:r w:rsidRPr="007140A4">
        <w:rPr>
          <w:bCs/>
        </w:rPr>
        <w:tab/>
      </w:r>
      <w:r>
        <w:rPr>
          <w:bCs/>
        </w:rPr>
        <w:t xml:space="preserve">Kawartha Lakes Municipal Airport surplus (deficit) </w:t>
      </w:r>
      <w:proofErr w:type="gramStart"/>
      <w:r w:rsidR="0014338C">
        <w:rPr>
          <w:bCs/>
        </w:rPr>
        <w:t>shall</w:t>
      </w:r>
      <w:r>
        <w:rPr>
          <w:bCs/>
        </w:rPr>
        <w:t xml:space="preserve"> be transferred</w:t>
      </w:r>
      <w:proofErr w:type="gramEnd"/>
      <w:r>
        <w:rPr>
          <w:bCs/>
        </w:rPr>
        <w:t xml:space="preserve"> to (from) the Airport Reserve. </w:t>
      </w:r>
    </w:p>
    <w:p w:rsidR="00035688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</w:pPr>
      <w:r>
        <w:t>2.07</w:t>
      </w:r>
      <w:r>
        <w:tab/>
        <w:t xml:space="preserve">Any surplus (deficit) </w:t>
      </w:r>
      <w:r w:rsidR="005A1C6C">
        <w:t>incurred</w:t>
      </w:r>
      <w:r>
        <w:t xml:space="preserve"> by the Building Department (17300) shall be transferred to (from) the Building Reserve in accordance with the Building Code Act. </w:t>
      </w:r>
    </w:p>
    <w:p w:rsidR="005B0D93" w:rsidRPr="00035688" w:rsidRDefault="00035688" w:rsidP="00035688">
      <w:pPr>
        <w:tabs>
          <w:tab w:val="left" w:pos="8124"/>
        </w:tabs>
      </w:pPr>
      <w:r>
        <w:tab/>
      </w:r>
    </w:p>
    <w:p w:rsidR="005B0D93" w:rsidRDefault="005B0D93" w:rsidP="005B0D93">
      <w:pPr>
        <w:ind w:left="720" w:hanging="720"/>
      </w:pPr>
      <w:r>
        <w:lastRenderedPageBreak/>
        <w:t>2.08</w:t>
      </w:r>
      <w:r>
        <w:tab/>
        <w:t xml:space="preserve">Surpluses (deficits) experienced in the Water and </w:t>
      </w:r>
      <w:r w:rsidR="0014338C">
        <w:t xml:space="preserve">Wastewater operating </w:t>
      </w:r>
      <w:r w:rsidR="005A1C6C">
        <w:t>financials</w:t>
      </w:r>
      <w:r w:rsidR="0014338C">
        <w:t xml:space="preserve">, </w:t>
      </w:r>
      <w:proofErr w:type="gramStart"/>
      <w:r>
        <w:t>shall be transferred</w:t>
      </w:r>
      <w:proofErr w:type="gramEnd"/>
      <w:r>
        <w:t xml:space="preserve"> to the respective Water and Wastewater User Rate Stabilization Reserve.</w:t>
      </w:r>
    </w:p>
    <w:p w:rsidR="005B0D93" w:rsidRDefault="005B0D93" w:rsidP="005B0D93">
      <w:pPr>
        <w:ind w:left="720" w:hanging="720"/>
      </w:pPr>
      <w:r>
        <w:t>2.09</w:t>
      </w:r>
      <w:r>
        <w:tab/>
        <w:t xml:space="preserve">Annual operating surpluses (deficits) </w:t>
      </w:r>
      <w:r w:rsidR="005A1C6C">
        <w:t>incurred by the</w:t>
      </w:r>
      <w:r>
        <w:t xml:space="preserve"> Kawartha Lakes </w:t>
      </w:r>
      <w:r w:rsidR="00CC2A1C">
        <w:t xml:space="preserve">Haliburton </w:t>
      </w:r>
      <w:r>
        <w:t>Housing operations s</w:t>
      </w:r>
      <w:r w:rsidR="0014338C">
        <w:t>hall</w:t>
      </w:r>
      <w:r>
        <w:t xml:space="preserve"> be transferred to (from) the Local Housing Surplus Reserve.</w:t>
      </w:r>
    </w:p>
    <w:p w:rsidR="005B0D93" w:rsidRDefault="005B0D93" w:rsidP="005B0D93">
      <w:pPr>
        <w:ind w:left="720" w:hanging="720"/>
      </w:pPr>
      <w:proofErr w:type="gramStart"/>
      <w:r>
        <w:t>2.10</w:t>
      </w:r>
      <w:proofErr w:type="gramEnd"/>
      <w:r>
        <w:tab/>
        <w:t xml:space="preserve">In the year of a Municipal Election, any surplus (deficit) amounts </w:t>
      </w:r>
      <w:r w:rsidR="0014338C">
        <w:t>shall</w:t>
      </w:r>
      <w:r>
        <w:t xml:space="preserve"> be transferred to (from) the Election Reserve. </w:t>
      </w:r>
    </w:p>
    <w:p w:rsidR="005B0D93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</w:pPr>
      <w:r>
        <w:t>2.11</w:t>
      </w:r>
      <w:r>
        <w:tab/>
        <w:t xml:space="preserve">Any surplus (deficit) in an area rate </w:t>
      </w:r>
      <w:proofErr w:type="gramStart"/>
      <w:r w:rsidR="007F4ECC">
        <w:t>shal</w:t>
      </w:r>
      <w:r>
        <w:t>l be transferred</w:t>
      </w:r>
      <w:proofErr w:type="gramEnd"/>
      <w:r>
        <w:t xml:space="preserve"> to (from) the Area Rate Stabilization with the following commitments: </w:t>
      </w:r>
    </w:p>
    <w:p w:rsidR="005B0D93" w:rsidRDefault="005B0D93" w:rsidP="005B0D9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1440"/>
        <w:contextualSpacing w:val="0"/>
        <w:textAlignment w:val="baseline"/>
        <w:rPr>
          <w:bCs/>
        </w:rPr>
      </w:pPr>
      <w:r>
        <w:rPr>
          <w:bCs/>
        </w:rPr>
        <w:t>Transit</w:t>
      </w:r>
    </w:p>
    <w:p w:rsidR="005B0D93" w:rsidRDefault="005B0D93" w:rsidP="005B0D9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1440"/>
        <w:contextualSpacing w:val="0"/>
        <w:textAlignment w:val="baseline"/>
        <w:rPr>
          <w:bCs/>
        </w:rPr>
      </w:pPr>
      <w:r>
        <w:rPr>
          <w:bCs/>
        </w:rPr>
        <w:t>Ontario Provincial Police</w:t>
      </w:r>
    </w:p>
    <w:p w:rsidR="005B0D93" w:rsidRDefault="005B0D93" w:rsidP="005B0D9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1440"/>
        <w:contextualSpacing w:val="0"/>
        <w:textAlignment w:val="baseline"/>
      </w:pPr>
      <w:r>
        <w:t>Kawartha Lakes Police Service</w:t>
      </w:r>
    </w:p>
    <w:p w:rsidR="005B0D93" w:rsidRPr="00B527E7" w:rsidRDefault="005B0D93" w:rsidP="005B0D93">
      <w:pPr>
        <w:overflowPunct w:val="0"/>
        <w:autoSpaceDE w:val="0"/>
        <w:autoSpaceDN w:val="0"/>
        <w:adjustRightInd w:val="0"/>
        <w:ind w:left="720"/>
        <w:textAlignment w:val="baseline"/>
      </w:pPr>
      <w:r>
        <w:t xml:space="preserve">In the event there is a deficit and insufficient reserve balances to cover said deficit, it will be included in </w:t>
      </w:r>
      <w:r w:rsidR="005A1C6C">
        <w:t xml:space="preserve">the </w:t>
      </w:r>
      <w:r>
        <w:t xml:space="preserve">subsequent year tax levy. </w:t>
      </w:r>
    </w:p>
    <w:p w:rsidR="005B0D93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</w:pPr>
      <w:r>
        <w:t>2.12</w:t>
      </w:r>
      <w:r>
        <w:tab/>
        <w:t xml:space="preserve">Annual surplus (deficit) from Winter Control activities </w:t>
      </w:r>
      <w:proofErr w:type="gramStart"/>
      <w:r>
        <w:t>s</w:t>
      </w:r>
      <w:r w:rsidR="007F4ECC">
        <w:t>hall</w:t>
      </w:r>
      <w:r>
        <w:t xml:space="preserve"> be transferred</w:t>
      </w:r>
      <w:proofErr w:type="gramEnd"/>
      <w:r>
        <w:t xml:space="preserve"> to (from) the General Tax Stabilization Reserve, committed to Winter Control. </w:t>
      </w:r>
    </w:p>
    <w:p w:rsidR="005B0D93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</w:pPr>
      <w:r>
        <w:t>2.13</w:t>
      </w:r>
      <w:r>
        <w:tab/>
      </w:r>
      <w:r w:rsidR="00B24F1C">
        <w:t>W</w:t>
      </w:r>
      <w:r>
        <w:t>age related surplus (deficits)</w:t>
      </w:r>
      <w:r w:rsidR="005A1C6C">
        <w:t>,</w:t>
      </w:r>
      <w:r>
        <w:t xml:space="preserve"> with the exception of Departments mentioned in 2.07 to 2.11</w:t>
      </w:r>
      <w:r w:rsidR="005A1C6C">
        <w:t>,</w:t>
      </w:r>
      <w:r>
        <w:t xml:space="preserve"> </w:t>
      </w:r>
      <w:proofErr w:type="gramStart"/>
      <w:r>
        <w:t>sh</w:t>
      </w:r>
      <w:r w:rsidR="007F4ECC">
        <w:t>all</w:t>
      </w:r>
      <w:r>
        <w:t xml:space="preserve"> be transferred</w:t>
      </w:r>
      <w:proofErr w:type="gramEnd"/>
      <w:r>
        <w:t xml:space="preserve"> to (from) the People Services Stabilization Reserve. </w:t>
      </w:r>
    </w:p>
    <w:p w:rsidR="005B0D93" w:rsidRPr="007140A4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</w:pPr>
      <w:r>
        <w:t>2.14</w:t>
      </w:r>
      <w:r>
        <w:tab/>
        <w:t xml:space="preserve">Surplus (deficits) </w:t>
      </w:r>
      <w:r w:rsidR="005A1C6C">
        <w:t xml:space="preserve">incurred </w:t>
      </w:r>
      <w:r>
        <w:t>in Fleet Maintenan</w:t>
      </w:r>
      <w:r w:rsidR="007F4ECC">
        <w:t>ce after 2.13 is applied, shall</w:t>
      </w:r>
      <w:r>
        <w:t xml:space="preserve"> be transferred to (from) the Fleet Maintenance Reserve. </w:t>
      </w:r>
    </w:p>
    <w:p w:rsidR="005B0D93" w:rsidRDefault="005B0D93" w:rsidP="005B0D93">
      <w:pPr>
        <w:ind w:left="720" w:hanging="720"/>
      </w:pPr>
      <w:r>
        <w:t>2.15</w:t>
      </w:r>
      <w:r>
        <w:tab/>
        <w:t xml:space="preserve">Arts and Culture, Public Art (17510.72980) surplus </w:t>
      </w:r>
      <w:r w:rsidR="007F4ECC">
        <w:t>shall</w:t>
      </w:r>
      <w:r>
        <w:t xml:space="preserve"> be transferred to the City Heritage Reserve and committed to future investment in Public Art. </w:t>
      </w:r>
    </w:p>
    <w:p w:rsidR="005B0D93" w:rsidRDefault="005B0D93" w:rsidP="005B0D93">
      <w:pPr>
        <w:overflowPunct w:val="0"/>
        <w:autoSpaceDE w:val="0"/>
        <w:autoSpaceDN w:val="0"/>
        <w:adjustRightInd w:val="0"/>
        <w:ind w:left="720" w:hanging="720"/>
        <w:textAlignment w:val="baseline"/>
      </w:pPr>
      <w:r>
        <w:t>2.16</w:t>
      </w:r>
      <w:r>
        <w:tab/>
        <w:t xml:space="preserve">In the event there are remaining surpluses following the above noted </w:t>
      </w:r>
      <w:r w:rsidR="00CC2A1C">
        <w:t>guidelines</w:t>
      </w:r>
      <w:r>
        <w:t xml:space="preserve">, </w:t>
      </w:r>
      <w:r w:rsidR="005A1C6C">
        <w:t>the</w:t>
      </w:r>
      <w:r>
        <w:t xml:space="preserve"> remaining surplus </w:t>
      </w:r>
      <w:proofErr w:type="gramStart"/>
      <w:r w:rsidR="007F4ECC">
        <w:t>shall</w:t>
      </w:r>
      <w:r>
        <w:t xml:space="preserve"> be allocated</w:t>
      </w:r>
      <w:proofErr w:type="gramEnd"/>
      <w:r>
        <w:t xml:space="preserve"> to the Tax Stabilization Reserve. </w:t>
      </w:r>
    </w:p>
    <w:p w:rsidR="005B0D93" w:rsidRDefault="005B0D93" w:rsidP="005B0D93">
      <w:pPr>
        <w:rPr>
          <w:rFonts w:cs="Arial"/>
          <w:b/>
          <w:color w:val="2C3D7A"/>
        </w:rPr>
      </w:pPr>
      <w:r>
        <w:rPr>
          <w:rFonts w:cs="Arial"/>
          <w:b/>
          <w:color w:val="2C3D7A"/>
        </w:rPr>
        <w:t>3.0 Future Considerations</w:t>
      </w:r>
    </w:p>
    <w:p w:rsidR="00B35B90" w:rsidRDefault="005B0D93" w:rsidP="00B35B90">
      <w:pPr>
        <w:overflowPunct w:val="0"/>
        <w:autoSpaceDE w:val="0"/>
        <w:autoSpaceDN w:val="0"/>
        <w:adjustRightInd w:val="0"/>
        <w:ind w:left="720" w:hanging="720"/>
        <w:textAlignment w:val="baseline"/>
      </w:pPr>
      <w:r>
        <w:t>3.01</w:t>
      </w:r>
      <w:r>
        <w:tab/>
        <w:t>The Treasurer or their designate sh</w:t>
      </w:r>
      <w:r w:rsidR="007F4ECC">
        <w:t>all</w:t>
      </w:r>
      <w:r>
        <w:t xml:space="preserve"> consider the </w:t>
      </w:r>
      <w:r w:rsidR="005A1C6C">
        <w:t>City’s</w:t>
      </w:r>
      <w:r>
        <w:t xml:space="preserve"> needs on an annual basis regarding the General </w:t>
      </w:r>
      <w:r w:rsidR="00CC2A1C">
        <w:t xml:space="preserve">Guidelines </w:t>
      </w:r>
      <w:r>
        <w:t xml:space="preserve">of this Policy. </w:t>
      </w:r>
    </w:p>
    <w:p w:rsidR="0090099E" w:rsidRPr="0090099E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lastRenderedPageBreak/>
        <w:t>Revision History:</w:t>
      </w:r>
    </w:p>
    <w:p w:rsidR="0090099E" w:rsidRPr="006173E2" w:rsidRDefault="0090099E" w:rsidP="0090099E">
      <w:pPr>
        <w:keepNext/>
        <w:jc w:val="both"/>
        <w:rPr>
          <w:rFonts w:cs="Arial"/>
          <w:bCs/>
        </w:rPr>
      </w:pPr>
      <w:r w:rsidRPr="006173E2">
        <w:rPr>
          <w:rFonts w:cs="Arial"/>
          <w:bCs/>
        </w:rPr>
        <w:t>Proposed Date of Review: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able"/>
        <w:tblDescription w:val="The table reads left to right and outlines when the policy was revised and what the revision was."/>
      </w:tblPr>
      <w:tblGrid>
        <w:gridCol w:w="1217"/>
        <w:gridCol w:w="1418"/>
        <w:gridCol w:w="3933"/>
        <w:gridCol w:w="2160"/>
      </w:tblGrid>
      <w:tr w:rsidR="0090099E" w:rsidRPr="006173E2" w:rsidTr="00FE48B2">
        <w:trPr>
          <w:trHeight w:val="485"/>
        </w:trPr>
        <w:tc>
          <w:tcPr>
            <w:tcW w:w="1217" w:type="dxa"/>
            <w:shd w:val="clear" w:color="auto" w:fill="auto"/>
            <w:vAlign w:val="center"/>
          </w:tcPr>
          <w:p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Revision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Date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90099E" w:rsidRPr="00170791" w:rsidRDefault="00170791" w:rsidP="00FE48B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C</w:t>
            </w:r>
            <w:r w:rsidR="0090099E" w:rsidRPr="00170791">
              <w:rPr>
                <w:rFonts w:cs="Arial"/>
                <w:b/>
                <w:bCs/>
              </w:rPr>
              <w:t>hanges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Requested By</w:t>
            </w:r>
          </w:p>
        </w:tc>
      </w:tr>
      <w:tr w:rsidR="0090099E" w:rsidRPr="006173E2" w:rsidTr="00FE48B2">
        <w:trPr>
          <w:trHeight w:val="432"/>
        </w:trPr>
        <w:tc>
          <w:tcPr>
            <w:tcW w:w="1217" w:type="dxa"/>
            <w:vAlign w:val="center"/>
          </w:tcPr>
          <w:p w:rsidR="0090099E" w:rsidRPr="006173E2" w:rsidRDefault="0090099E" w:rsidP="00FE48B2">
            <w:pPr>
              <w:rPr>
                <w:rFonts w:cs="Arial"/>
              </w:rPr>
            </w:pPr>
            <w:r w:rsidRPr="006173E2">
              <w:rPr>
                <w:rFonts w:cs="Arial"/>
              </w:rPr>
              <w:t>0.0</w:t>
            </w:r>
          </w:p>
        </w:tc>
        <w:tc>
          <w:tcPr>
            <w:tcW w:w="970" w:type="dxa"/>
            <w:vAlign w:val="center"/>
          </w:tcPr>
          <w:p w:rsidR="0090099E" w:rsidRPr="006173E2" w:rsidRDefault="00035688" w:rsidP="00035688">
            <w:pPr>
              <w:rPr>
                <w:rFonts w:cs="Arial"/>
              </w:rPr>
            </w:pPr>
            <w:r>
              <w:rPr>
                <w:rFonts w:cs="Arial"/>
              </w:rPr>
              <w:t>10/22/2024</w:t>
            </w:r>
          </w:p>
        </w:tc>
        <w:tc>
          <w:tcPr>
            <w:tcW w:w="3933" w:type="dxa"/>
            <w:vAlign w:val="center"/>
          </w:tcPr>
          <w:p w:rsidR="0090099E" w:rsidRPr="006173E2" w:rsidRDefault="0090099E" w:rsidP="00FE48B2">
            <w:pPr>
              <w:rPr>
                <w:rFonts w:cs="Arial"/>
              </w:rPr>
            </w:pPr>
            <w:r w:rsidRPr="006173E2">
              <w:rPr>
                <w:rFonts w:cs="Arial"/>
              </w:rPr>
              <w:t>Initial Release</w:t>
            </w:r>
          </w:p>
        </w:tc>
        <w:tc>
          <w:tcPr>
            <w:tcW w:w="2160" w:type="dxa"/>
            <w:vAlign w:val="center"/>
          </w:tcPr>
          <w:p w:rsidR="0090099E" w:rsidRPr="006173E2" w:rsidRDefault="00035688" w:rsidP="00FE48B2">
            <w:pPr>
              <w:rPr>
                <w:rFonts w:cs="Arial"/>
              </w:rPr>
            </w:pPr>
            <w:r>
              <w:rPr>
                <w:rFonts w:cs="Arial"/>
              </w:rPr>
              <w:t>Approved by Council</w:t>
            </w:r>
          </w:p>
        </w:tc>
      </w:tr>
    </w:tbl>
    <w:p w:rsidR="008E5E29" w:rsidRPr="009E7C86" w:rsidRDefault="008E5E29" w:rsidP="005B5351">
      <w:pPr>
        <w:spacing w:before="0" w:after="200" w:line="276" w:lineRule="auto"/>
        <w:rPr>
          <w:rFonts w:ascii="Tahoma" w:hAnsi="Tahoma" w:cs="Tahoma"/>
        </w:rPr>
      </w:pPr>
    </w:p>
    <w:sectPr w:rsidR="008E5E29" w:rsidRPr="009E7C86" w:rsidSect="008E5E29">
      <w:footerReference w:type="default" r:id="rId10"/>
      <w:headerReference w:type="first" r:id="rId11"/>
      <w:pgSz w:w="12240" w:h="15840"/>
      <w:pgMar w:top="20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E8" w:rsidRDefault="00B46CE8" w:rsidP="00226B10">
      <w:r>
        <w:separator/>
      </w:r>
    </w:p>
  </w:endnote>
  <w:endnote w:type="continuationSeparator" w:id="0">
    <w:p w:rsidR="00B46CE8" w:rsidRDefault="00B46CE8" w:rsidP="002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105698006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26B10" w:rsidRPr="00035688" w:rsidRDefault="00035688" w:rsidP="00035688">
            <w:pPr>
              <w:pStyle w:val="Footer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CP2024-009, Operating Surplus Disposition Policy</w:t>
            </w:r>
            <w:r w:rsidR="00A136DA" w:rsidRPr="00A136DA">
              <w:rPr>
                <w:rFonts w:ascii="Tahoma" w:hAnsi="Tahoma" w:cs="Tahoma"/>
                <w:sz w:val="20"/>
                <w:szCs w:val="20"/>
              </w:rPr>
              <w:br/>
              <w:t xml:space="preserve">Page 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instrText xml:space="preserve"> PAGE </w:instrTex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5B54AF">
              <w:rPr>
                <w:rFonts w:ascii="Tahoma" w:hAnsi="Tahoma" w:cs="Tahoma"/>
                <w:bCs/>
                <w:noProof/>
                <w:sz w:val="20"/>
                <w:szCs w:val="20"/>
              </w:rPr>
              <w:t>4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="00A136DA" w:rsidRPr="00A136DA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instrText xml:space="preserve"> NUMPAGES  </w:instrTex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5B54AF">
              <w:rPr>
                <w:rFonts w:ascii="Tahoma" w:hAnsi="Tahoma" w:cs="Tahoma"/>
                <w:bCs/>
                <w:noProof/>
                <w:sz w:val="20"/>
                <w:szCs w:val="20"/>
              </w:rPr>
              <w:t>4</w:t>
            </w:r>
            <w:r w:rsidR="00A136DA" w:rsidRPr="00A136D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E8" w:rsidRDefault="00B46CE8" w:rsidP="00226B10">
      <w:r>
        <w:separator/>
      </w:r>
    </w:p>
  </w:footnote>
  <w:footnote w:type="continuationSeparator" w:id="0">
    <w:p w:rsidR="00B46CE8" w:rsidRDefault="00B46CE8" w:rsidP="0022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29" w:rsidRPr="009E7C86" w:rsidRDefault="008E5E29" w:rsidP="008E5E29">
    <w:pPr>
      <w:tabs>
        <w:tab w:val="center" w:pos="4320"/>
        <w:tab w:val="right" w:pos="8640"/>
      </w:tabs>
      <w:ind w:left="3690" w:hanging="1080"/>
      <w:jc w:val="center"/>
      <w:rPr>
        <w:rFonts w:ascii="Tahoma" w:hAnsi="Tahoma" w:cs="Tahoma"/>
        <w:b/>
        <w:color w:val="1D9C8F"/>
        <w:sz w:val="36"/>
        <w:szCs w:val="36"/>
      </w:rPr>
    </w:pPr>
    <w:r w:rsidRPr="009E7C86">
      <w:rPr>
        <w:rFonts w:ascii="Tahoma" w:hAnsi="Tahoma" w:cs="Tahoma"/>
        <w:b/>
        <w:noProof/>
        <w:color w:val="1D9C8F"/>
        <w:sz w:val="36"/>
        <w:szCs w:val="36"/>
        <w:lang w:val="en-CA" w:eastAsia="en-CA"/>
      </w:rPr>
      <w:drawing>
        <wp:anchor distT="0" distB="0" distL="114300" distR="114300" simplePos="0" relativeHeight="251657216" behindDoc="0" locked="0" layoutInCell="1" allowOverlap="1" wp14:anchorId="3F33F48B" wp14:editId="47395F26">
          <wp:simplePos x="0" y="0"/>
          <wp:positionH relativeFrom="margin">
            <wp:posOffset>-140607</wp:posOffset>
          </wp:positionH>
          <wp:positionV relativeFrom="margin">
            <wp:posOffset>-1004570</wp:posOffset>
          </wp:positionV>
          <wp:extent cx="1938528" cy="831476"/>
          <wp:effectExtent l="0" t="0" r="5080" b="6985"/>
          <wp:wrapSquare wrapText="bothSides"/>
          <wp:docPr id="2" name="Picture 2" descr="City of Kawartha Lakes Logo" title="City of Kawartha Lak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83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1D9C8F"/>
        <w:sz w:val="36"/>
        <w:szCs w:val="36"/>
        <w:lang w:eastAsia="en-CA"/>
      </w:rPr>
      <w:t xml:space="preserve">Council Policy </w:t>
    </w:r>
  </w:p>
  <w:p w:rsidR="008E5E29" w:rsidRDefault="008E5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5A2"/>
    <w:multiLevelType w:val="hybridMultilevel"/>
    <w:tmpl w:val="CE229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92F3E"/>
    <w:multiLevelType w:val="multilevel"/>
    <w:tmpl w:val="29E0E00C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8D85BAA"/>
    <w:multiLevelType w:val="hybridMultilevel"/>
    <w:tmpl w:val="9D6E36B0"/>
    <w:lvl w:ilvl="0" w:tplc="64604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C49D6"/>
    <w:multiLevelType w:val="multilevel"/>
    <w:tmpl w:val="A24490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10"/>
    <w:rsid w:val="00035688"/>
    <w:rsid w:val="00065EA2"/>
    <w:rsid w:val="00084C79"/>
    <w:rsid w:val="0014338C"/>
    <w:rsid w:val="00170791"/>
    <w:rsid w:val="00226B10"/>
    <w:rsid w:val="002459F4"/>
    <w:rsid w:val="00331815"/>
    <w:rsid w:val="003E69C2"/>
    <w:rsid w:val="00435BB7"/>
    <w:rsid w:val="00441001"/>
    <w:rsid w:val="004F0C38"/>
    <w:rsid w:val="005029A4"/>
    <w:rsid w:val="00550313"/>
    <w:rsid w:val="0055689C"/>
    <w:rsid w:val="005A1C6C"/>
    <w:rsid w:val="005B0D93"/>
    <w:rsid w:val="005B5351"/>
    <w:rsid w:val="005B54AF"/>
    <w:rsid w:val="005C4850"/>
    <w:rsid w:val="006C50B4"/>
    <w:rsid w:val="006F2681"/>
    <w:rsid w:val="007176D7"/>
    <w:rsid w:val="00782F5C"/>
    <w:rsid w:val="007B549E"/>
    <w:rsid w:val="007F4ECC"/>
    <w:rsid w:val="0083010C"/>
    <w:rsid w:val="008E5E29"/>
    <w:rsid w:val="0090099E"/>
    <w:rsid w:val="009E7C86"/>
    <w:rsid w:val="00A136DA"/>
    <w:rsid w:val="00B24F1C"/>
    <w:rsid w:val="00B35B90"/>
    <w:rsid w:val="00B46CE8"/>
    <w:rsid w:val="00B4785B"/>
    <w:rsid w:val="00B614C0"/>
    <w:rsid w:val="00B84933"/>
    <w:rsid w:val="00BC2C38"/>
    <w:rsid w:val="00C76A39"/>
    <w:rsid w:val="00CC2A1C"/>
    <w:rsid w:val="00CE25AF"/>
    <w:rsid w:val="00E7108F"/>
    <w:rsid w:val="00E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D468C"/>
  <w15:docId w15:val="{3CD1DD54-2330-4FDA-BAED-52CF4F7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91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B10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10"/>
  </w:style>
  <w:style w:type="paragraph" w:styleId="Footer">
    <w:name w:val="footer"/>
    <w:basedOn w:val="Normal"/>
    <w:link w:val="Foot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10"/>
  </w:style>
  <w:style w:type="paragraph" w:styleId="BalloonText">
    <w:name w:val="Balloon Text"/>
    <w:basedOn w:val="Normal"/>
    <w:link w:val="BalloonTextChar"/>
    <w:uiPriority w:val="99"/>
    <w:semiHidden/>
    <w:unhideWhenUsed/>
    <w:rsid w:val="0022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6B10"/>
    <w:rPr>
      <w:rFonts w:ascii="Arial" w:eastAsiaTheme="majorEastAsia" w:hAnsi="Arial" w:cstheme="majorBidi"/>
      <w:b/>
      <w:bCs/>
      <w:sz w:val="24"/>
      <w:szCs w:val="28"/>
      <w:lang w:val="en-US"/>
    </w:rPr>
  </w:style>
  <w:style w:type="table" w:styleId="TableGrid">
    <w:name w:val="Table Grid"/>
    <w:basedOn w:val="TableNormal"/>
    <w:rsid w:val="00A1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BDC680FC8E4DA13F653E26A69411" ma:contentTypeVersion="17" ma:contentTypeDescription="Create a new document." ma:contentTypeScope="" ma:versionID="1d277bc2f70275fdb73ade0c8aa98c2a">
  <xsd:schema xmlns:xsd="http://www.w3.org/2001/XMLSchema" xmlns:xs="http://www.w3.org/2001/XMLSchema" xmlns:p="http://schemas.microsoft.com/office/2006/metadata/properties" xmlns:ns2="bad8a531-d17d-4798-a51d-82f576cd3420" xmlns:ns3="c43a2687-9836-40ef-9782-e20a3f7585cf" targetNamespace="http://schemas.microsoft.com/office/2006/metadata/properties" ma:root="true" ma:fieldsID="601106dd64b68768af8b78aa6962e908" ns2:_="" ns3:_="">
    <xsd:import namespace="bad8a531-d17d-4798-a51d-82f576cd3420"/>
    <xsd:import namespace="c43a2687-9836-40ef-9782-e20a3f7585c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a531-d17d-4798-a51d-82f576cd342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687-9836-40ef-9782-e20a3f758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bad8a531-d17d-4798-a51d-82f576cd3420" xsi:nil="true"/>
    <PublishingExpirationDate xmlns="bad8a531-d17d-4798-a51d-82f576cd3420" xsi:nil="true"/>
  </documentManagement>
</p:properties>
</file>

<file path=customXml/itemProps1.xml><?xml version="1.0" encoding="utf-8"?>
<ds:datastoreItem xmlns:ds="http://schemas.openxmlformats.org/officeDocument/2006/customXml" ds:itemID="{6AC173F9-2D3D-4285-94EC-445291C95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C4065-37C1-4DCD-BDAB-EF07580DD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8a531-d17d-4798-a51d-82f576cd3420"/>
    <ds:schemaRef ds:uri="c43a2687-9836-40ef-9782-e20a3f758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A386B-2E1F-41A5-A116-13C235F3FC54}">
  <ds:schemaRefs>
    <ds:schemaRef ds:uri="http://schemas.microsoft.com/office/2006/metadata/properties"/>
    <ds:schemaRef ds:uri="http://schemas.microsoft.com/office/infopath/2007/PartnerControls"/>
    <ds:schemaRef ds:uri="bad8a531-d17d-4798-a51d-82f576cd34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Kawartha Lakes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O'Connell</dc:creator>
  <cp:lastModifiedBy>Sarah O'Connell</cp:lastModifiedBy>
  <cp:revision>2</cp:revision>
  <dcterms:created xsi:type="dcterms:W3CDTF">2025-01-23T15:57:00Z</dcterms:created>
  <dcterms:modified xsi:type="dcterms:W3CDTF">2025-01-23T19:11:00Z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0x01010055DEBDC680FC8E4DA13F653E26A69411</vt:lpwstr>
  </property>
  <property fmtid="{D5CDD505-2E9C-101B-9397-08002B2CF9AE}" pid="3" name="_dlc_DocIdItemGuid">
    <vt:lpwstr>7295c25d-b80f-4b1d-9020-4dc63b3129dd</vt:lpwstr>
  </property>
</Properties>
</file>