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216011" w14:paraId="7A618CDE" w14:textId="77777777" w:rsidTr="0053563E">
        <w:trPr>
          <w:trHeight w:val="521"/>
        </w:trPr>
        <w:tc>
          <w:tcPr>
            <w:tcW w:w="4695" w:type="dxa"/>
            <w:vAlign w:val="center"/>
          </w:tcPr>
          <w:p w14:paraId="2BFBF90E" w14:textId="77777777" w:rsidR="00216011" w:rsidRDefault="00216011" w:rsidP="00216011">
            <w:pPr>
              <w:rPr>
                <w:rFonts w:cs="Arial"/>
              </w:rPr>
            </w:pPr>
            <w:r w:rsidRPr="00677D1E">
              <w:rPr>
                <w:rFonts w:cs="Arial"/>
              </w:rPr>
              <w:t>Council Policy No.:</w:t>
            </w:r>
          </w:p>
        </w:tc>
        <w:tc>
          <w:tcPr>
            <w:tcW w:w="4655" w:type="dxa"/>
          </w:tcPr>
          <w:p w14:paraId="1B19BB78" w14:textId="1E23CAD6" w:rsidR="00216011" w:rsidRDefault="00263C15" w:rsidP="00216011">
            <w:pPr>
              <w:rPr>
                <w:rFonts w:cs="Arial"/>
              </w:rPr>
            </w:pPr>
            <w:r>
              <w:t xml:space="preserve">CP2026-029 (Formerly </w:t>
            </w:r>
            <w:r w:rsidR="00216011" w:rsidRPr="00BD43F0">
              <w:t>CP2019-004</w:t>
            </w:r>
            <w:r>
              <w:t>)</w:t>
            </w:r>
          </w:p>
        </w:tc>
      </w:tr>
      <w:tr w:rsidR="00216011" w14:paraId="6291EB1E" w14:textId="77777777" w:rsidTr="0053563E">
        <w:trPr>
          <w:trHeight w:val="539"/>
        </w:trPr>
        <w:tc>
          <w:tcPr>
            <w:tcW w:w="4695" w:type="dxa"/>
            <w:vAlign w:val="center"/>
          </w:tcPr>
          <w:p w14:paraId="0B661251" w14:textId="77777777" w:rsidR="00216011" w:rsidRDefault="00216011" w:rsidP="00216011">
            <w:pPr>
              <w:rPr>
                <w:rFonts w:cs="Arial"/>
              </w:rPr>
            </w:pPr>
            <w:r w:rsidRPr="00677D1E">
              <w:rPr>
                <w:rFonts w:cs="Arial"/>
              </w:rPr>
              <w:t>Council Policy Name:</w:t>
            </w:r>
          </w:p>
        </w:tc>
        <w:tc>
          <w:tcPr>
            <w:tcW w:w="4655" w:type="dxa"/>
          </w:tcPr>
          <w:p w14:paraId="4D8634D1" w14:textId="783B444D" w:rsidR="00216011" w:rsidRDefault="00216011" w:rsidP="00216011">
            <w:pPr>
              <w:rPr>
                <w:rFonts w:cs="Arial"/>
              </w:rPr>
            </w:pPr>
            <w:r w:rsidRPr="00BD43F0">
              <w:t>Affordable Housing Incentives</w:t>
            </w:r>
          </w:p>
        </w:tc>
      </w:tr>
      <w:tr w:rsidR="00216011" w14:paraId="42569A58" w14:textId="77777777" w:rsidTr="0053563E">
        <w:trPr>
          <w:trHeight w:val="530"/>
        </w:trPr>
        <w:tc>
          <w:tcPr>
            <w:tcW w:w="4695" w:type="dxa"/>
            <w:vAlign w:val="center"/>
          </w:tcPr>
          <w:p w14:paraId="12F5D26A" w14:textId="77777777" w:rsidR="00216011" w:rsidRDefault="00216011" w:rsidP="00216011">
            <w:pPr>
              <w:rPr>
                <w:rFonts w:cs="Arial"/>
              </w:rPr>
            </w:pPr>
            <w:r w:rsidRPr="00677D1E">
              <w:rPr>
                <w:rFonts w:cs="Arial"/>
              </w:rPr>
              <w:t>Date Approved by Council:</w:t>
            </w:r>
          </w:p>
        </w:tc>
        <w:tc>
          <w:tcPr>
            <w:tcW w:w="4655" w:type="dxa"/>
          </w:tcPr>
          <w:p w14:paraId="462FB153" w14:textId="798129C0" w:rsidR="00216011" w:rsidRDefault="00216011" w:rsidP="00216011">
            <w:pPr>
              <w:rPr>
                <w:rFonts w:cs="Arial"/>
              </w:rPr>
            </w:pPr>
            <w:r w:rsidRPr="00BD43F0">
              <w:t>November 19, 2019 (CR2019-643)</w:t>
            </w:r>
          </w:p>
        </w:tc>
      </w:tr>
      <w:tr w:rsidR="005A545B" w14:paraId="59B74F8F" w14:textId="77777777" w:rsidTr="00822E03">
        <w:trPr>
          <w:trHeight w:val="530"/>
        </w:trPr>
        <w:tc>
          <w:tcPr>
            <w:tcW w:w="4695" w:type="dxa"/>
            <w:vAlign w:val="center"/>
          </w:tcPr>
          <w:p w14:paraId="0F6C028E" w14:textId="77777777" w:rsidR="005A545B" w:rsidRDefault="005A545B" w:rsidP="005A545B">
            <w:pPr>
              <w:rPr>
                <w:rFonts w:cs="Arial"/>
              </w:rPr>
            </w:pPr>
            <w:r w:rsidRPr="00677D1E">
              <w:rPr>
                <w:rFonts w:cs="Arial"/>
              </w:rPr>
              <w:t>Date revision approved by Council:</w:t>
            </w:r>
          </w:p>
        </w:tc>
        <w:tc>
          <w:tcPr>
            <w:tcW w:w="4655" w:type="dxa"/>
          </w:tcPr>
          <w:p w14:paraId="15431558" w14:textId="4E8A3B01" w:rsidR="005A545B" w:rsidRDefault="005A545B" w:rsidP="005A545B">
            <w:pPr>
              <w:rPr>
                <w:rFonts w:cs="Arial"/>
              </w:rPr>
            </w:pPr>
          </w:p>
        </w:tc>
      </w:tr>
      <w:tr w:rsidR="00E079A5" w14:paraId="1AE59D39" w14:textId="77777777" w:rsidTr="0053563E">
        <w:trPr>
          <w:trHeight w:val="770"/>
        </w:trPr>
        <w:tc>
          <w:tcPr>
            <w:tcW w:w="4695" w:type="dxa"/>
            <w:vAlign w:val="center"/>
          </w:tcPr>
          <w:p w14:paraId="687410E4" w14:textId="77777777" w:rsidR="00E079A5" w:rsidRDefault="00E079A5" w:rsidP="00E079A5">
            <w:pPr>
              <w:rPr>
                <w:rFonts w:cs="Arial"/>
              </w:rPr>
            </w:pPr>
            <w:r w:rsidRPr="00677D1E">
              <w:rPr>
                <w:rFonts w:cs="Arial"/>
              </w:rPr>
              <w:t>Related SOP, Management Directive, Council Policy, Forms</w:t>
            </w:r>
          </w:p>
        </w:tc>
        <w:tc>
          <w:tcPr>
            <w:tcW w:w="4655" w:type="dxa"/>
          </w:tcPr>
          <w:p w14:paraId="2F6C4F30" w14:textId="6F2C3119" w:rsidR="00E079A5" w:rsidRDefault="00E079A5" w:rsidP="00E079A5">
            <w:pPr>
              <w:spacing w:before="0" w:after="0"/>
              <w:rPr>
                <w:rFonts w:cs="Arial"/>
              </w:rPr>
            </w:pPr>
          </w:p>
        </w:tc>
      </w:tr>
    </w:tbl>
    <w:p w14:paraId="1FAE97E7" w14:textId="77777777" w:rsidR="003D329C" w:rsidRPr="003D329C" w:rsidRDefault="003D329C" w:rsidP="003D329C">
      <w:pPr>
        <w:keepNext/>
        <w:keepLines/>
        <w:outlineLvl w:val="0"/>
        <w:rPr>
          <w:rFonts w:eastAsiaTheme="majorEastAsia" w:cstheme="majorBidi"/>
          <w:b/>
          <w:bCs/>
          <w:sz w:val="28"/>
          <w:szCs w:val="28"/>
        </w:rPr>
      </w:pPr>
      <w:r w:rsidRPr="003D329C">
        <w:rPr>
          <w:rFonts w:eastAsiaTheme="majorEastAsia" w:cstheme="majorBidi"/>
          <w:b/>
          <w:bCs/>
          <w:sz w:val="28"/>
          <w:szCs w:val="28"/>
        </w:rPr>
        <w:t>Policy Statement and Rationale:</w:t>
      </w:r>
    </w:p>
    <w:p w14:paraId="08064712" w14:textId="77777777" w:rsidR="003D329C" w:rsidRPr="003D329C" w:rsidRDefault="003D329C" w:rsidP="003D329C">
      <w:pPr>
        <w:autoSpaceDE w:val="0"/>
        <w:autoSpaceDN w:val="0"/>
        <w:adjustRightInd w:val="0"/>
        <w:rPr>
          <w:rFonts w:cs="Arial"/>
          <w:color w:val="000000"/>
          <w:lang w:val="en-CA" w:eastAsia="en-CA"/>
        </w:rPr>
      </w:pPr>
      <w:r w:rsidRPr="003D329C">
        <w:rPr>
          <w:rFonts w:cs="Arial"/>
          <w:color w:val="000000"/>
          <w:lang w:val="en-CA" w:eastAsia="en-CA"/>
        </w:rPr>
        <w:t>The City of Kawartha Lakes is the provincially designated Service Manager for the administration and delivery of Housing and Homelessness services under the Housing Services Act (“the Act”) within the City and the County of Haliburton.</w:t>
      </w:r>
    </w:p>
    <w:p w14:paraId="73E14252" w14:textId="77777777" w:rsidR="003D329C" w:rsidRPr="003D329C" w:rsidRDefault="003D329C" w:rsidP="003D329C">
      <w:pPr>
        <w:spacing w:before="0" w:after="200" w:line="276" w:lineRule="auto"/>
        <w:rPr>
          <w:rFonts w:eastAsiaTheme="minorHAnsi" w:cs="Arial"/>
          <w:lang w:val="en-CA"/>
        </w:rPr>
      </w:pPr>
      <w:r w:rsidRPr="003D329C">
        <w:rPr>
          <w:rFonts w:eastAsiaTheme="minorHAnsi" w:cs="Arial"/>
          <w:lang w:val="en-CA"/>
        </w:rPr>
        <w:t>Although the City is the designated Service Manager within the Act for the City and County, policy direction with financial impacts for both are developed in a coordinated approach.</w:t>
      </w:r>
    </w:p>
    <w:p w14:paraId="23BA3A41" w14:textId="77777777" w:rsidR="003D329C" w:rsidRPr="003D329C" w:rsidRDefault="003D329C" w:rsidP="003D329C">
      <w:pPr>
        <w:spacing w:before="0" w:after="200" w:line="276" w:lineRule="auto"/>
        <w:rPr>
          <w:rFonts w:eastAsiaTheme="minorHAnsi" w:cs="Arial"/>
          <w:lang w:val="en-CA"/>
        </w:rPr>
      </w:pPr>
      <w:r w:rsidRPr="003D329C">
        <w:rPr>
          <w:rFonts w:eastAsiaTheme="minorHAnsi" w:cs="Arial"/>
          <w:lang w:val="en-CA"/>
        </w:rPr>
        <w:t>This policy is applicable for additional affordable housing in both the City and the County since the Service Manager is the responsible party for approval and administration of the Municipal Housing Facility Bylaw and any project specific agreements occurring under that bylaw. The Service Manager is also the recipient and responsible for any federal and/or provincial affordable housing funding.</w:t>
      </w:r>
    </w:p>
    <w:p w14:paraId="3A5989D5" w14:textId="77777777" w:rsidR="003D329C" w:rsidRPr="003D329C" w:rsidRDefault="003D329C" w:rsidP="003D329C">
      <w:pPr>
        <w:spacing w:before="0" w:after="200" w:line="276" w:lineRule="auto"/>
        <w:rPr>
          <w:rFonts w:eastAsiaTheme="minorHAnsi" w:cs="Arial"/>
          <w:lang w:val="en-CA"/>
        </w:rPr>
      </w:pPr>
      <w:r w:rsidRPr="003D329C">
        <w:rPr>
          <w:rFonts w:eastAsiaTheme="minorHAnsi" w:cs="Arial"/>
          <w:lang w:val="en-CA"/>
        </w:rPr>
        <w:t>In connection with the council adopted Affordable Housing Framework, this policy will provide clarity and guidance to proponents wishing to assist the City or County in the development of new affordable housing units and more specifically in achieving targets established in the 2020-2029 Housing &amp; Homelessness Plan.</w:t>
      </w:r>
    </w:p>
    <w:p w14:paraId="18098F64" w14:textId="77777777" w:rsidR="003D329C" w:rsidRPr="003D329C" w:rsidRDefault="003D329C" w:rsidP="003D329C">
      <w:pPr>
        <w:spacing w:before="0" w:after="200" w:line="276" w:lineRule="auto"/>
        <w:rPr>
          <w:rFonts w:eastAsiaTheme="minorHAnsi" w:cs="Arial"/>
          <w:lang w:val="en-CA"/>
        </w:rPr>
      </w:pPr>
      <w:r w:rsidRPr="003D329C">
        <w:rPr>
          <w:rFonts w:eastAsiaTheme="minorHAnsi" w:cs="Arial"/>
          <w:lang w:val="en-CA"/>
        </w:rPr>
        <w:t>Any incentive or funding will apply only to the unit(s) which meet or exceed the definition of affordable housing for the City and County as defined in Bylaw 2018-057.</w:t>
      </w:r>
    </w:p>
    <w:p w14:paraId="41CEAF18" w14:textId="77777777" w:rsidR="003D329C" w:rsidRPr="003D329C" w:rsidRDefault="003D329C" w:rsidP="003D329C">
      <w:pPr>
        <w:keepNext/>
        <w:keepLines/>
        <w:outlineLvl w:val="0"/>
        <w:rPr>
          <w:rFonts w:eastAsiaTheme="majorEastAsia" w:cstheme="majorBidi"/>
          <w:b/>
          <w:bCs/>
          <w:sz w:val="28"/>
          <w:szCs w:val="28"/>
        </w:rPr>
      </w:pPr>
      <w:r w:rsidRPr="003D329C">
        <w:rPr>
          <w:rFonts w:eastAsiaTheme="majorEastAsia" w:cstheme="majorBidi"/>
          <w:b/>
          <w:bCs/>
          <w:sz w:val="28"/>
          <w:szCs w:val="28"/>
        </w:rPr>
        <w:t>Scope:</w:t>
      </w:r>
    </w:p>
    <w:p w14:paraId="311FF54D" w14:textId="77777777" w:rsidR="003D329C" w:rsidRPr="003D329C" w:rsidRDefault="003D329C" w:rsidP="003D329C">
      <w:pPr>
        <w:spacing w:before="0" w:after="0"/>
        <w:rPr>
          <w:rFonts w:cs="Arial"/>
        </w:rPr>
      </w:pPr>
      <w:r w:rsidRPr="003D329C">
        <w:rPr>
          <w:rFonts w:cs="Arial"/>
        </w:rPr>
        <w:t>Eligible Proponent Types:</w:t>
      </w:r>
    </w:p>
    <w:p w14:paraId="32124CB0" w14:textId="77777777" w:rsidR="003D329C" w:rsidRPr="003D329C" w:rsidRDefault="003D329C" w:rsidP="003D329C">
      <w:pPr>
        <w:numPr>
          <w:ilvl w:val="0"/>
          <w:numId w:val="33"/>
        </w:numPr>
        <w:spacing w:before="0" w:after="0" w:line="276" w:lineRule="auto"/>
        <w:contextualSpacing/>
        <w:rPr>
          <w:rFonts w:eastAsiaTheme="minorHAnsi" w:cs="Arial"/>
          <w:lang w:val="en-CA"/>
        </w:rPr>
      </w:pPr>
      <w:r w:rsidRPr="003D329C">
        <w:rPr>
          <w:rFonts w:eastAsiaTheme="minorHAnsi" w:cs="Arial"/>
          <w:lang w:val="en-CA"/>
        </w:rPr>
        <w:lastRenderedPageBreak/>
        <w:t>KLH Housing Corporation (KLH)</w:t>
      </w:r>
    </w:p>
    <w:p w14:paraId="0314BAE2" w14:textId="77777777" w:rsidR="003D329C" w:rsidRPr="003D329C" w:rsidRDefault="003D329C" w:rsidP="003D329C">
      <w:pPr>
        <w:numPr>
          <w:ilvl w:val="0"/>
          <w:numId w:val="33"/>
        </w:numPr>
        <w:spacing w:before="0" w:after="0" w:line="276" w:lineRule="auto"/>
        <w:contextualSpacing/>
        <w:rPr>
          <w:rFonts w:eastAsiaTheme="minorHAnsi" w:cs="Arial"/>
          <w:lang w:val="en-CA"/>
        </w:rPr>
      </w:pPr>
      <w:r w:rsidRPr="003D329C">
        <w:rPr>
          <w:rFonts w:eastAsiaTheme="minorHAnsi" w:cs="Arial"/>
          <w:lang w:val="en-CA"/>
        </w:rPr>
        <w:t>Community Housing Provider (CHP)</w:t>
      </w:r>
    </w:p>
    <w:p w14:paraId="4D521364" w14:textId="77777777" w:rsidR="003D329C" w:rsidRPr="003D329C" w:rsidRDefault="003D329C" w:rsidP="003D329C">
      <w:pPr>
        <w:numPr>
          <w:ilvl w:val="0"/>
          <w:numId w:val="33"/>
        </w:numPr>
        <w:spacing w:before="0" w:after="0" w:line="276" w:lineRule="auto"/>
        <w:contextualSpacing/>
        <w:rPr>
          <w:rFonts w:eastAsiaTheme="minorHAnsi" w:cs="Arial"/>
          <w:lang w:val="en-CA"/>
        </w:rPr>
      </w:pPr>
      <w:r w:rsidRPr="003D329C">
        <w:rPr>
          <w:rFonts w:eastAsiaTheme="minorHAnsi" w:cs="Arial"/>
          <w:lang w:val="en-CA"/>
        </w:rPr>
        <w:t>Private Non Profit (PNP)</w:t>
      </w:r>
    </w:p>
    <w:p w14:paraId="60BED25F" w14:textId="77777777" w:rsidR="003D329C" w:rsidRPr="003D329C" w:rsidRDefault="003D329C" w:rsidP="003D329C">
      <w:pPr>
        <w:numPr>
          <w:ilvl w:val="0"/>
          <w:numId w:val="33"/>
        </w:numPr>
        <w:spacing w:before="0" w:after="0" w:line="276" w:lineRule="auto"/>
        <w:contextualSpacing/>
        <w:rPr>
          <w:rFonts w:eastAsiaTheme="minorHAnsi" w:cs="Arial"/>
          <w:lang w:val="en-CA"/>
        </w:rPr>
      </w:pPr>
      <w:r w:rsidRPr="003D329C">
        <w:rPr>
          <w:rFonts w:eastAsiaTheme="minorHAnsi" w:cs="Arial"/>
          <w:lang w:val="en-CA"/>
        </w:rPr>
        <w:t>Private Developer (PD)</w:t>
      </w:r>
    </w:p>
    <w:p w14:paraId="13997EB3" w14:textId="77777777" w:rsidR="003D329C" w:rsidRPr="003D329C" w:rsidRDefault="003D329C" w:rsidP="003D329C">
      <w:pPr>
        <w:numPr>
          <w:ilvl w:val="0"/>
          <w:numId w:val="33"/>
        </w:numPr>
        <w:spacing w:before="0" w:after="0" w:line="276" w:lineRule="auto"/>
        <w:contextualSpacing/>
        <w:rPr>
          <w:rFonts w:eastAsiaTheme="minorHAnsi" w:cs="Arial"/>
          <w:lang w:val="en-CA"/>
        </w:rPr>
      </w:pPr>
      <w:r w:rsidRPr="003D329C">
        <w:rPr>
          <w:rFonts w:eastAsiaTheme="minorHAnsi" w:cs="Arial"/>
          <w:lang w:val="en-CA"/>
        </w:rPr>
        <w:t>Habitat for Humanity (HH)</w:t>
      </w:r>
    </w:p>
    <w:p w14:paraId="029E59FF" w14:textId="77777777" w:rsidR="003D329C" w:rsidRPr="003D329C" w:rsidRDefault="003D329C" w:rsidP="003D329C">
      <w:pPr>
        <w:numPr>
          <w:ilvl w:val="0"/>
          <w:numId w:val="33"/>
        </w:numPr>
        <w:spacing w:before="0" w:after="0" w:line="276" w:lineRule="auto"/>
        <w:rPr>
          <w:rFonts w:eastAsiaTheme="minorHAnsi" w:cs="Arial"/>
          <w:lang w:val="en-CA"/>
        </w:rPr>
      </w:pPr>
      <w:r w:rsidRPr="003D329C">
        <w:rPr>
          <w:rFonts w:eastAsiaTheme="minorHAnsi" w:cs="Arial"/>
          <w:lang w:val="en-CA"/>
        </w:rPr>
        <w:t>Homeowner (HO)</w:t>
      </w:r>
    </w:p>
    <w:p w14:paraId="0FEF2B42" w14:textId="77777777" w:rsidR="003D329C" w:rsidRPr="003D329C" w:rsidRDefault="003D329C" w:rsidP="00642362">
      <w:pPr>
        <w:rPr>
          <w:rFonts w:eastAsiaTheme="minorHAnsi" w:cs="Arial"/>
          <w:lang w:val="en-CA"/>
        </w:rPr>
      </w:pPr>
      <w:r w:rsidRPr="003D329C">
        <w:rPr>
          <w:rFonts w:eastAsiaTheme="minorHAnsi" w:cs="Arial"/>
          <w:lang w:val="en-CA"/>
        </w:rPr>
        <w:t>Available Municipal Incentives:</w:t>
      </w:r>
    </w:p>
    <w:p w14:paraId="655B4F7B"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t>The incentives listed in Table 1 are provided in order for proponents to complete expression of interest packages. While councils have approved these items as incentives to help create affordable housing units, proponents and budgets must still be approved on a case by case basis.</w:t>
      </w:r>
    </w:p>
    <w:p w14:paraId="7B04FD9E" w14:textId="77777777" w:rsidR="003D329C" w:rsidRPr="003D329C" w:rsidRDefault="003D329C" w:rsidP="003D329C">
      <w:pPr>
        <w:spacing w:after="0" w:line="276" w:lineRule="auto"/>
        <w:rPr>
          <w:rFonts w:eastAsiaTheme="minorHAnsi" w:cs="Arial"/>
          <w:b/>
          <w:lang w:val="en-CA"/>
        </w:rPr>
      </w:pPr>
      <w:r w:rsidRPr="003D329C">
        <w:rPr>
          <w:rFonts w:eastAsiaTheme="minorHAnsi" w:cs="Arial"/>
          <w:b/>
          <w:lang w:val="en-CA"/>
        </w:rPr>
        <w:t>Table 1: Municipal Incentives</w:t>
      </w:r>
    </w:p>
    <w:tbl>
      <w:tblPr>
        <w:tblStyle w:val="TableGrid1"/>
        <w:tblW w:w="0" w:type="auto"/>
        <w:tblLook w:val="04A0" w:firstRow="1" w:lastRow="0" w:firstColumn="1" w:lastColumn="0" w:noHBand="0" w:noVBand="1"/>
        <w:tblCaption w:val="Municipal Incentives"/>
        <w:tblDescription w:val="Table reads left to right to outline incentive, method, eligible proponent, program type."/>
      </w:tblPr>
      <w:tblGrid>
        <w:gridCol w:w="2671"/>
        <w:gridCol w:w="2322"/>
        <w:gridCol w:w="2339"/>
        <w:gridCol w:w="2018"/>
      </w:tblGrid>
      <w:tr w:rsidR="003D329C" w:rsidRPr="003D329C" w14:paraId="5690E996" w14:textId="77777777" w:rsidTr="00CB2609">
        <w:trPr>
          <w:tblHeader/>
        </w:trPr>
        <w:tc>
          <w:tcPr>
            <w:tcW w:w="2671" w:type="dxa"/>
          </w:tcPr>
          <w:p w14:paraId="098291BC" w14:textId="77777777" w:rsidR="003D329C" w:rsidRPr="003D329C" w:rsidRDefault="003D329C" w:rsidP="003D329C">
            <w:pPr>
              <w:spacing w:before="0" w:after="0"/>
              <w:rPr>
                <w:rFonts w:eastAsiaTheme="minorHAnsi" w:cs="Arial"/>
                <w:b/>
                <w:lang w:val="en-CA"/>
              </w:rPr>
            </w:pPr>
            <w:r w:rsidRPr="003D329C">
              <w:rPr>
                <w:rFonts w:eastAsiaTheme="minorHAnsi" w:cs="Arial"/>
                <w:b/>
                <w:lang w:val="en-CA"/>
              </w:rPr>
              <w:t>Incentive</w:t>
            </w:r>
          </w:p>
        </w:tc>
        <w:tc>
          <w:tcPr>
            <w:tcW w:w="2389" w:type="dxa"/>
          </w:tcPr>
          <w:p w14:paraId="711D8C2C" w14:textId="77777777" w:rsidR="003D329C" w:rsidRPr="003D329C" w:rsidRDefault="003D329C" w:rsidP="003D329C">
            <w:pPr>
              <w:spacing w:before="0" w:after="0"/>
              <w:rPr>
                <w:rFonts w:eastAsiaTheme="minorHAnsi" w:cs="Arial"/>
                <w:b/>
                <w:lang w:val="en-CA"/>
              </w:rPr>
            </w:pPr>
            <w:r w:rsidRPr="003D329C">
              <w:rPr>
                <w:rFonts w:eastAsiaTheme="minorHAnsi" w:cs="Arial"/>
                <w:b/>
                <w:lang w:val="en-CA"/>
              </w:rPr>
              <w:t>Method</w:t>
            </w:r>
          </w:p>
        </w:tc>
        <w:tc>
          <w:tcPr>
            <w:tcW w:w="2461" w:type="dxa"/>
          </w:tcPr>
          <w:p w14:paraId="15975AA4" w14:textId="77777777" w:rsidR="003D329C" w:rsidRPr="003D329C" w:rsidRDefault="003D329C" w:rsidP="003D329C">
            <w:pPr>
              <w:spacing w:before="0" w:after="0"/>
              <w:rPr>
                <w:rFonts w:eastAsiaTheme="minorHAnsi" w:cs="Arial"/>
                <w:b/>
                <w:lang w:val="en-CA"/>
              </w:rPr>
            </w:pPr>
            <w:r w:rsidRPr="003D329C">
              <w:rPr>
                <w:rFonts w:eastAsiaTheme="minorHAnsi" w:cs="Arial"/>
                <w:b/>
                <w:lang w:val="en-CA"/>
              </w:rPr>
              <w:t>Eligible Proponent</w:t>
            </w:r>
          </w:p>
        </w:tc>
        <w:tc>
          <w:tcPr>
            <w:tcW w:w="2055" w:type="dxa"/>
          </w:tcPr>
          <w:p w14:paraId="6A7CF35B" w14:textId="77777777" w:rsidR="003D329C" w:rsidRPr="003D329C" w:rsidRDefault="003D329C" w:rsidP="003D329C">
            <w:pPr>
              <w:spacing w:before="0" w:after="0"/>
              <w:rPr>
                <w:rFonts w:eastAsiaTheme="minorHAnsi" w:cs="Arial"/>
                <w:b/>
                <w:lang w:val="en-CA"/>
              </w:rPr>
            </w:pPr>
            <w:r w:rsidRPr="003D329C">
              <w:rPr>
                <w:rFonts w:eastAsiaTheme="minorHAnsi" w:cs="Arial"/>
                <w:b/>
                <w:lang w:val="en-CA"/>
              </w:rPr>
              <w:t>Program Type</w:t>
            </w:r>
          </w:p>
        </w:tc>
      </w:tr>
      <w:tr w:rsidR="003D329C" w:rsidRPr="003D329C" w14:paraId="1E7FBA57" w14:textId="77777777" w:rsidTr="00CB2609">
        <w:tc>
          <w:tcPr>
            <w:tcW w:w="2671" w:type="dxa"/>
          </w:tcPr>
          <w:p w14:paraId="105DFF2E"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Municipally Owned Land</w:t>
            </w:r>
          </w:p>
        </w:tc>
        <w:tc>
          <w:tcPr>
            <w:tcW w:w="2389" w:type="dxa"/>
          </w:tcPr>
          <w:p w14:paraId="01133978"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Donation</w:t>
            </w:r>
          </w:p>
        </w:tc>
        <w:tc>
          <w:tcPr>
            <w:tcW w:w="2461" w:type="dxa"/>
          </w:tcPr>
          <w:p w14:paraId="59905515"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 HH</w:t>
            </w:r>
          </w:p>
        </w:tc>
        <w:tc>
          <w:tcPr>
            <w:tcW w:w="2055" w:type="dxa"/>
          </w:tcPr>
          <w:p w14:paraId="111CF215"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New Rental Construction</w:t>
            </w:r>
          </w:p>
        </w:tc>
      </w:tr>
      <w:tr w:rsidR="003D329C" w:rsidRPr="003D329C" w14:paraId="4D88D4F2" w14:textId="77777777" w:rsidTr="00CB2609">
        <w:tc>
          <w:tcPr>
            <w:tcW w:w="2671" w:type="dxa"/>
          </w:tcPr>
          <w:p w14:paraId="251C639D"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Municipally Owned Land</w:t>
            </w:r>
          </w:p>
        </w:tc>
        <w:tc>
          <w:tcPr>
            <w:tcW w:w="2389" w:type="dxa"/>
          </w:tcPr>
          <w:p w14:paraId="4D2646DD"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Lease</w:t>
            </w:r>
          </w:p>
        </w:tc>
        <w:tc>
          <w:tcPr>
            <w:tcW w:w="2461" w:type="dxa"/>
          </w:tcPr>
          <w:p w14:paraId="50797B67"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 PNP</w:t>
            </w:r>
          </w:p>
        </w:tc>
        <w:tc>
          <w:tcPr>
            <w:tcW w:w="2055" w:type="dxa"/>
          </w:tcPr>
          <w:p w14:paraId="5F800691"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Construction</w:t>
            </w:r>
          </w:p>
        </w:tc>
      </w:tr>
      <w:tr w:rsidR="003D329C" w:rsidRPr="003D329C" w14:paraId="5FCD4431" w14:textId="77777777" w:rsidTr="00CB2609">
        <w:tc>
          <w:tcPr>
            <w:tcW w:w="2671" w:type="dxa"/>
          </w:tcPr>
          <w:p w14:paraId="155E33D0"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Municipally Owned Land</w:t>
            </w:r>
          </w:p>
        </w:tc>
        <w:tc>
          <w:tcPr>
            <w:tcW w:w="2389" w:type="dxa"/>
          </w:tcPr>
          <w:p w14:paraId="59F67B9E"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Below Market Value</w:t>
            </w:r>
          </w:p>
        </w:tc>
        <w:tc>
          <w:tcPr>
            <w:tcW w:w="2461" w:type="dxa"/>
          </w:tcPr>
          <w:p w14:paraId="5FF13A0F"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 PNP, PD, HH</w:t>
            </w:r>
          </w:p>
        </w:tc>
        <w:tc>
          <w:tcPr>
            <w:tcW w:w="2055" w:type="dxa"/>
          </w:tcPr>
          <w:p w14:paraId="444D2D3D"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0018C65D" w14:textId="77777777" w:rsidTr="00CB2609">
        <w:tc>
          <w:tcPr>
            <w:tcW w:w="2671" w:type="dxa"/>
          </w:tcPr>
          <w:p w14:paraId="60BDED22"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Land Management Fees &amp; Charges</w:t>
            </w:r>
          </w:p>
        </w:tc>
        <w:tc>
          <w:tcPr>
            <w:tcW w:w="2389" w:type="dxa"/>
          </w:tcPr>
          <w:p w14:paraId="713F0951" w14:textId="701F8330" w:rsidR="003D329C" w:rsidRPr="003D329C" w:rsidRDefault="00642362" w:rsidP="003D329C">
            <w:pPr>
              <w:spacing w:before="0" w:after="0"/>
              <w:rPr>
                <w:rFonts w:eastAsiaTheme="minorHAnsi" w:cs="Arial"/>
                <w:lang w:val="en-CA"/>
              </w:rPr>
            </w:pPr>
            <w:r>
              <w:rPr>
                <w:rFonts w:eastAsiaTheme="minorHAnsi" w:cs="Arial"/>
                <w:lang w:val="en-CA"/>
              </w:rPr>
              <w:t>Waived</w:t>
            </w:r>
          </w:p>
        </w:tc>
        <w:tc>
          <w:tcPr>
            <w:tcW w:w="2461" w:type="dxa"/>
          </w:tcPr>
          <w:p w14:paraId="1A554BB5"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 PNP, PD, HH</w:t>
            </w:r>
          </w:p>
        </w:tc>
        <w:tc>
          <w:tcPr>
            <w:tcW w:w="2055" w:type="dxa"/>
          </w:tcPr>
          <w:p w14:paraId="55462C27"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New Rental or Ownership Construction</w:t>
            </w:r>
          </w:p>
        </w:tc>
      </w:tr>
      <w:tr w:rsidR="003D329C" w:rsidRPr="003D329C" w14:paraId="2B3F9D6C" w14:textId="77777777" w:rsidTr="00CB2609">
        <w:tc>
          <w:tcPr>
            <w:tcW w:w="2671" w:type="dxa"/>
          </w:tcPr>
          <w:p w14:paraId="517E8A5E"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Property Tax Exemption</w:t>
            </w:r>
          </w:p>
        </w:tc>
        <w:tc>
          <w:tcPr>
            <w:tcW w:w="2389" w:type="dxa"/>
          </w:tcPr>
          <w:p w14:paraId="7E8F14E8"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Offsetting grant</w:t>
            </w:r>
          </w:p>
        </w:tc>
        <w:tc>
          <w:tcPr>
            <w:tcW w:w="2461" w:type="dxa"/>
          </w:tcPr>
          <w:p w14:paraId="5222112D"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 PNP</w:t>
            </w:r>
          </w:p>
        </w:tc>
        <w:tc>
          <w:tcPr>
            <w:tcW w:w="2055" w:type="dxa"/>
          </w:tcPr>
          <w:p w14:paraId="7FF9BFCA"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Construction</w:t>
            </w:r>
          </w:p>
        </w:tc>
      </w:tr>
      <w:tr w:rsidR="003D329C" w:rsidRPr="003D329C" w14:paraId="3CC9ED8D" w14:textId="77777777" w:rsidTr="00CB2609">
        <w:tc>
          <w:tcPr>
            <w:tcW w:w="2671" w:type="dxa"/>
          </w:tcPr>
          <w:p w14:paraId="42870795"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Property Tax Deferral</w:t>
            </w:r>
          </w:p>
        </w:tc>
        <w:tc>
          <w:tcPr>
            <w:tcW w:w="2389" w:type="dxa"/>
          </w:tcPr>
          <w:p w14:paraId="513AC6AE"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Offsetting grant</w:t>
            </w:r>
          </w:p>
        </w:tc>
        <w:tc>
          <w:tcPr>
            <w:tcW w:w="2461" w:type="dxa"/>
          </w:tcPr>
          <w:p w14:paraId="56E4DC19"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PD</w:t>
            </w:r>
          </w:p>
        </w:tc>
        <w:tc>
          <w:tcPr>
            <w:tcW w:w="2055" w:type="dxa"/>
          </w:tcPr>
          <w:p w14:paraId="24DC9196"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New Rental Construction, Secondary Suite, Rehabilitation</w:t>
            </w:r>
          </w:p>
        </w:tc>
      </w:tr>
      <w:tr w:rsidR="003D329C" w:rsidRPr="003D329C" w14:paraId="50AA9D65" w14:textId="77777777" w:rsidTr="00CB2609">
        <w:tc>
          <w:tcPr>
            <w:tcW w:w="2671" w:type="dxa"/>
          </w:tcPr>
          <w:p w14:paraId="29AB0DB2"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Pre Consultation Fee</w:t>
            </w:r>
          </w:p>
        </w:tc>
        <w:tc>
          <w:tcPr>
            <w:tcW w:w="2389" w:type="dxa"/>
          </w:tcPr>
          <w:p w14:paraId="2239267B" w14:textId="6D555219" w:rsidR="003D329C" w:rsidRPr="003D329C" w:rsidRDefault="00642362" w:rsidP="003D329C">
            <w:pPr>
              <w:spacing w:before="0" w:after="0"/>
              <w:rPr>
                <w:rFonts w:eastAsiaTheme="minorHAnsi" w:cs="Arial"/>
                <w:lang w:val="en-CA"/>
              </w:rPr>
            </w:pPr>
            <w:r>
              <w:rPr>
                <w:rFonts w:eastAsiaTheme="minorHAnsi" w:cs="Arial"/>
                <w:lang w:val="en-CA"/>
              </w:rPr>
              <w:t>Waived</w:t>
            </w:r>
          </w:p>
        </w:tc>
        <w:tc>
          <w:tcPr>
            <w:tcW w:w="2461" w:type="dxa"/>
          </w:tcPr>
          <w:p w14:paraId="0585F4BC"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 PNP, PD, HH</w:t>
            </w:r>
          </w:p>
        </w:tc>
        <w:tc>
          <w:tcPr>
            <w:tcW w:w="2055" w:type="dxa"/>
          </w:tcPr>
          <w:p w14:paraId="7F0A7EAD"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New Rental Construction, Secondary Suite, Rehabilitation</w:t>
            </w:r>
          </w:p>
        </w:tc>
      </w:tr>
      <w:tr w:rsidR="003D329C" w:rsidRPr="003D329C" w14:paraId="38876AD1" w14:textId="77777777" w:rsidTr="00642362">
        <w:trPr>
          <w:cantSplit/>
        </w:trPr>
        <w:tc>
          <w:tcPr>
            <w:tcW w:w="2671" w:type="dxa"/>
          </w:tcPr>
          <w:p w14:paraId="3C6510EC" w14:textId="77777777" w:rsidR="003D329C" w:rsidRPr="003D329C" w:rsidRDefault="003D329C" w:rsidP="003D329C">
            <w:pPr>
              <w:spacing w:before="0" w:after="0"/>
              <w:rPr>
                <w:rFonts w:eastAsiaTheme="minorHAnsi" w:cs="Arial"/>
                <w:lang w:val="en-CA"/>
              </w:rPr>
            </w:pPr>
            <w:r w:rsidRPr="003D329C">
              <w:rPr>
                <w:rFonts w:eastAsiaTheme="minorHAnsi" w:cs="Arial"/>
                <w:lang w:val="en-CA"/>
              </w:rPr>
              <w:lastRenderedPageBreak/>
              <w:t>Zoning application fee, advertising fee</w:t>
            </w:r>
          </w:p>
        </w:tc>
        <w:tc>
          <w:tcPr>
            <w:tcW w:w="2389" w:type="dxa"/>
          </w:tcPr>
          <w:p w14:paraId="0C46F06D" w14:textId="3CD3F90B" w:rsidR="003D329C" w:rsidRPr="003D329C" w:rsidRDefault="00642362" w:rsidP="003D329C">
            <w:pPr>
              <w:spacing w:before="0" w:after="0"/>
              <w:rPr>
                <w:rFonts w:eastAsiaTheme="minorHAnsi" w:cs="Arial"/>
                <w:lang w:val="en-CA"/>
              </w:rPr>
            </w:pPr>
            <w:r>
              <w:rPr>
                <w:rFonts w:eastAsiaTheme="minorHAnsi" w:cs="Arial"/>
                <w:lang w:val="en-CA"/>
              </w:rPr>
              <w:t>Waived</w:t>
            </w:r>
          </w:p>
        </w:tc>
        <w:tc>
          <w:tcPr>
            <w:tcW w:w="2461" w:type="dxa"/>
          </w:tcPr>
          <w:p w14:paraId="18822C0A"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 PNP, PD, HH</w:t>
            </w:r>
          </w:p>
        </w:tc>
        <w:tc>
          <w:tcPr>
            <w:tcW w:w="2055" w:type="dxa"/>
          </w:tcPr>
          <w:p w14:paraId="54E03613"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New Rental or Ownership Construction, Rehabilitation, Secondary Suite</w:t>
            </w:r>
          </w:p>
        </w:tc>
      </w:tr>
      <w:tr w:rsidR="003D329C" w:rsidRPr="003D329C" w14:paraId="1C143059" w14:textId="77777777" w:rsidTr="00CB2609">
        <w:tc>
          <w:tcPr>
            <w:tcW w:w="2671" w:type="dxa"/>
          </w:tcPr>
          <w:p w14:paraId="3E19ADB1"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Official Plan Amendment application fee, advertising fee</w:t>
            </w:r>
          </w:p>
        </w:tc>
        <w:tc>
          <w:tcPr>
            <w:tcW w:w="2389" w:type="dxa"/>
          </w:tcPr>
          <w:p w14:paraId="7A292A00" w14:textId="7DE5D823"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p>
        </w:tc>
        <w:tc>
          <w:tcPr>
            <w:tcW w:w="2461" w:type="dxa"/>
          </w:tcPr>
          <w:p w14:paraId="183D45E0"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01AE703B"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 Secondary Suite</w:t>
            </w:r>
          </w:p>
        </w:tc>
      </w:tr>
      <w:tr w:rsidR="003D329C" w:rsidRPr="003D329C" w14:paraId="7EE8EF26" w14:textId="77777777" w:rsidTr="00CB2609">
        <w:tc>
          <w:tcPr>
            <w:tcW w:w="2671" w:type="dxa"/>
          </w:tcPr>
          <w:p w14:paraId="4D8F808E"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Removal of Holding System application fee, advertising fee</w:t>
            </w:r>
          </w:p>
        </w:tc>
        <w:tc>
          <w:tcPr>
            <w:tcW w:w="2389" w:type="dxa"/>
          </w:tcPr>
          <w:p w14:paraId="1543973D" w14:textId="5987C44E"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p>
        </w:tc>
        <w:tc>
          <w:tcPr>
            <w:tcW w:w="2461" w:type="dxa"/>
          </w:tcPr>
          <w:p w14:paraId="5D0DB5DB"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72068353"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 Secondary Suite</w:t>
            </w:r>
          </w:p>
        </w:tc>
      </w:tr>
      <w:tr w:rsidR="003D329C" w:rsidRPr="003D329C" w14:paraId="419E7DAC" w14:textId="77777777" w:rsidTr="00CB2609">
        <w:tc>
          <w:tcPr>
            <w:tcW w:w="2671" w:type="dxa"/>
          </w:tcPr>
          <w:p w14:paraId="492B8981"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Minor Variance application fee, advertising fee</w:t>
            </w:r>
          </w:p>
        </w:tc>
        <w:tc>
          <w:tcPr>
            <w:tcW w:w="2389" w:type="dxa"/>
          </w:tcPr>
          <w:p w14:paraId="2646E7B7" w14:textId="14A96D7D"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p>
        </w:tc>
        <w:tc>
          <w:tcPr>
            <w:tcW w:w="2461" w:type="dxa"/>
          </w:tcPr>
          <w:p w14:paraId="093426C2"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30BF9AB2"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 Secondary Suite</w:t>
            </w:r>
          </w:p>
        </w:tc>
      </w:tr>
      <w:tr w:rsidR="003D329C" w:rsidRPr="003D329C" w14:paraId="065B2843" w14:textId="77777777" w:rsidTr="00CB2609">
        <w:tc>
          <w:tcPr>
            <w:tcW w:w="2671" w:type="dxa"/>
          </w:tcPr>
          <w:p w14:paraId="7848159C"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Consent Fees, advertising fee</w:t>
            </w:r>
          </w:p>
        </w:tc>
        <w:tc>
          <w:tcPr>
            <w:tcW w:w="2389" w:type="dxa"/>
          </w:tcPr>
          <w:p w14:paraId="0071F19E" w14:textId="09462CD7"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p>
        </w:tc>
        <w:tc>
          <w:tcPr>
            <w:tcW w:w="2461" w:type="dxa"/>
          </w:tcPr>
          <w:p w14:paraId="2E4EFC43"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27306338"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 Secondary Suite</w:t>
            </w:r>
          </w:p>
        </w:tc>
      </w:tr>
      <w:tr w:rsidR="003D329C" w:rsidRPr="003D329C" w14:paraId="2C511EDD" w14:textId="77777777" w:rsidTr="00CB2609">
        <w:tc>
          <w:tcPr>
            <w:tcW w:w="2671" w:type="dxa"/>
          </w:tcPr>
          <w:p w14:paraId="7224440D"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Site Plan Application Fees</w:t>
            </w:r>
          </w:p>
        </w:tc>
        <w:tc>
          <w:tcPr>
            <w:tcW w:w="2389" w:type="dxa"/>
          </w:tcPr>
          <w:p w14:paraId="7453A7A2" w14:textId="23BAEB2E"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p>
        </w:tc>
        <w:tc>
          <w:tcPr>
            <w:tcW w:w="2461" w:type="dxa"/>
          </w:tcPr>
          <w:p w14:paraId="4852F2A7"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3133D3CD"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7A028217" w14:textId="77777777" w:rsidTr="00CB2609">
        <w:tc>
          <w:tcPr>
            <w:tcW w:w="2671" w:type="dxa"/>
          </w:tcPr>
          <w:p w14:paraId="3F19D163"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Site Plan Security</w:t>
            </w:r>
          </w:p>
        </w:tc>
        <w:tc>
          <w:tcPr>
            <w:tcW w:w="2389" w:type="dxa"/>
          </w:tcPr>
          <w:p w14:paraId="5C829948"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Requirement to provide waived</w:t>
            </w:r>
          </w:p>
        </w:tc>
        <w:tc>
          <w:tcPr>
            <w:tcW w:w="2461" w:type="dxa"/>
          </w:tcPr>
          <w:p w14:paraId="193F4297"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2AEA4FC2"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4D0D017B" w14:textId="77777777" w:rsidTr="00CB2609">
        <w:tc>
          <w:tcPr>
            <w:tcW w:w="2671" w:type="dxa"/>
          </w:tcPr>
          <w:p w14:paraId="4D45AA89"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Subdivision or Condominium application fee, advertising fee</w:t>
            </w:r>
          </w:p>
        </w:tc>
        <w:tc>
          <w:tcPr>
            <w:tcW w:w="2389" w:type="dxa"/>
          </w:tcPr>
          <w:p w14:paraId="04AC1F1E" w14:textId="796F6E39"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p>
        </w:tc>
        <w:tc>
          <w:tcPr>
            <w:tcW w:w="2461" w:type="dxa"/>
          </w:tcPr>
          <w:p w14:paraId="5A32711A"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5C29DCEB"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2BD1CD9C" w14:textId="77777777" w:rsidTr="00CB2609">
        <w:tc>
          <w:tcPr>
            <w:tcW w:w="2671" w:type="dxa"/>
          </w:tcPr>
          <w:p w14:paraId="06FEAAEC"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Building Permit Fee</w:t>
            </w:r>
          </w:p>
        </w:tc>
        <w:tc>
          <w:tcPr>
            <w:tcW w:w="2389" w:type="dxa"/>
          </w:tcPr>
          <w:p w14:paraId="72EFCE0A" w14:textId="46EE77BC"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Exemption</w:t>
            </w:r>
          </w:p>
        </w:tc>
        <w:tc>
          <w:tcPr>
            <w:tcW w:w="2461" w:type="dxa"/>
          </w:tcPr>
          <w:p w14:paraId="74C03936"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0D5FB5E5"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 Secondary Suite</w:t>
            </w:r>
          </w:p>
        </w:tc>
      </w:tr>
      <w:tr w:rsidR="003D329C" w:rsidRPr="003D329C" w14:paraId="3B4B3C66" w14:textId="77777777" w:rsidTr="00642362">
        <w:trPr>
          <w:cantSplit/>
        </w:trPr>
        <w:tc>
          <w:tcPr>
            <w:tcW w:w="2671" w:type="dxa"/>
          </w:tcPr>
          <w:p w14:paraId="2AC9B516" w14:textId="77777777" w:rsidR="003D329C" w:rsidRPr="003D329C" w:rsidRDefault="003D329C" w:rsidP="003D329C">
            <w:pPr>
              <w:spacing w:before="0" w:after="0"/>
              <w:rPr>
                <w:rFonts w:eastAsiaTheme="minorHAnsi" w:cs="Arial"/>
                <w:lang w:val="en-CA"/>
              </w:rPr>
            </w:pPr>
            <w:r w:rsidRPr="003D329C">
              <w:rPr>
                <w:rFonts w:eastAsiaTheme="minorHAnsi" w:cs="Arial"/>
                <w:lang w:val="en-CA"/>
              </w:rPr>
              <w:lastRenderedPageBreak/>
              <w:t>Demolition Permit Fee</w:t>
            </w:r>
          </w:p>
        </w:tc>
        <w:tc>
          <w:tcPr>
            <w:tcW w:w="2389" w:type="dxa"/>
          </w:tcPr>
          <w:p w14:paraId="1734D78C" w14:textId="5D268831"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Exemption</w:t>
            </w:r>
          </w:p>
        </w:tc>
        <w:tc>
          <w:tcPr>
            <w:tcW w:w="2461" w:type="dxa"/>
          </w:tcPr>
          <w:p w14:paraId="613DE56E"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1E97A96B"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w:t>
            </w:r>
          </w:p>
        </w:tc>
      </w:tr>
      <w:tr w:rsidR="003D329C" w:rsidRPr="003D329C" w14:paraId="4A1C6992" w14:textId="77777777" w:rsidTr="00CB2609">
        <w:tc>
          <w:tcPr>
            <w:tcW w:w="2671" w:type="dxa"/>
          </w:tcPr>
          <w:p w14:paraId="5058D651"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Accessory Dwelling Unit Permit</w:t>
            </w:r>
          </w:p>
        </w:tc>
        <w:tc>
          <w:tcPr>
            <w:tcW w:w="2389" w:type="dxa"/>
          </w:tcPr>
          <w:p w14:paraId="7B22C347" w14:textId="77E8F7BB"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p>
        </w:tc>
        <w:tc>
          <w:tcPr>
            <w:tcW w:w="2461" w:type="dxa"/>
          </w:tcPr>
          <w:p w14:paraId="7FAA8389"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4B850BA4"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Secondary Suite</w:t>
            </w:r>
          </w:p>
        </w:tc>
      </w:tr>
      <w:tr w:rsidR="003D329C" w:rsidRPr="003D329C" w14:paraId="75D6F99E" w14:textId="77777777" w:rsidTr="00CB2609">
        <w:tc>
          <w:tcPr>
            <w:tcW w:w="2671" w:type="dxa"/>
          </w:tcPr>
          <w:p w14:paraId="3F0ADB75"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Landfill Tipping Fees, contaminated soil &amp; construction/demolition waste</w:t>
            </w:r>
          </w:p>
        </w:tc>
        <w:tc>
          <w:tcPr>
            <w:tcW w:w="2389" w:type="dxa"/>
          </w:tcPr>
          <w:p w14:paraId="1E91F40B" w14:textId="3A71F315"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p>
        </w:tc>
        <w:tc>
          <w:tcPr>
            <w:tcW w:w="2461" w:type="dxa"/>
          </w:tcPr>
          <w:p w14:paraId="604C09FC"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6027E708"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 Secondary Suite</w:t>
            </w:r>
          </w:p>
        </w:tc>
      </w:tr>
      <w:tr w:rsidR="003D329C" w:rsidRPr="003D329C" w14:paraId="4B6A6DB1" w14:textId="77777777" w:rsidTr="00CB2609">
        <w:tc>
          <w:tcPr>
            <w:tcW w:w="2671" w:type="dxa"/>
          </w:tcPr>
          <w:p w14:paraId="533308D3"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Development Charges</w:t>
            </w:r>
          </w:p>
        </w:tc>
        <w:tc>
          <w:tcPr>
            <w:tcW w:w="2389" w:type="dxa"/>
          </w:tcPr>
          <w:p w14:paraId="67E66C2E" w14:textId="35568A98"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Exemption recovery through Contingency Reserve</w:t>
            </w:r>
          </w:p>
        </w:tc>
        <w:tc>
          <w:tcPr>
            <w:tcW w:w="2461" w:type="dxa"/>
          </w:tcPr>
          <w:p w14:paraId="0DD0FF46"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25DDDCC0"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4DC4ABFF" w14:textId="77777777" w:rsidTr="00CB2609">
        <w:tc>
          <w:tcPr>
            <w:tcW w:w="2671" w:type="dxa"/>
          </w:tcPr>
          <w:p w14:paraId="4CFF0521"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Development Application Approvals Process (DAAP) fees</w:t>
            </w:r>
          </w:p>
        </w:tc>
        <w:tc>
          <w:tcPr>
            <w:tcW w:w="2389" w:type="dxa"/>
          </w:tcPr>
          <w:p w14:paraId="6E74970E" w14:textId="629F98AA"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p>
        </w:tc>
        <w:tc>
          <w:tcPr>
            <w:tcW w:w="2461" w:type="dxa"/>
          </w:tcPr>
          <w:p w14:paraId="09D3ECA6"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222A59D3"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 xml:space="preserve">New Rental or Ownership Construction </w:t>
            </w:r>
          </w:p>
        </w:tc>
      </w:tr>
      <w:tr w:rsidR="003D329C" w:rsidRPr="003D329C" w14:paraId="228EC759" w14:textId="77777777" w:rsidTr="00CB2609">
        <w:tc>
          <w:tcPr>
            <w:tcW w:w="2671" w:type="dxa"/>
          </w:tcPr>
          <w:p w14:paraId="0D074642"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Parkland Levy</w:t>
            </w:r>
          </w:p>
        </w:tc>
        <w:tc>
          <w:tcPr>
            <w:tcW w:w="2389" w:type="dxa"/>
          </w:tcPr>
          <w:p w14:paraId="6B1F05AD"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Requirement to provide land or cash value waived</w:t>
            </w:r>
          </w:p>
        </w:tc>
        <w:tc>
          <w:tcPr>
            <w:tcW w:w="2461" w:type="dxa"/>
          </w:tcPr>
          <w:p w14:paraId="2029A46D"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7895B6B2"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2EA683ED" w14:textId="77777777" w:rsidTr="00CB2609">
        <w:tc>
          <w:tcPr>
            <w:tcW w:w="2671" w:type="dxa"/>
          </w:tcPr>
          <w:p w14:paraId="5A825E66"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Entrance Permit</w:t>
            </w:r>
          </w:p>
        </w:tc>
        <w:tc>
          <w:tcPr>
            <w:tcW w:w="2389" w:type="dxa"/>
          </w:tcPr>
          <w:p w14:paraId="566C4A51" w14:textId="0726E45B"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p>
        </w:tc>
        <w:tc>
          <w:tcPr>
            <w:tcW w:w="2461" w:type="dxa"/>
          </w:tcPr>
          <w:p w14:paraId="136BE869"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2DBFB599"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0727E29B" w14:textId="77777777" w:rsidTr="00CB2609">
        <w:tc>
          <w:tcPr>
            <w:tcW w:w="2671" w:type="dxa"/>
          </w:tcPr>
          <w:p w14:paraId="451FF0AA"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Conservation Permit Fee</w:t>
            </w:r>
          </w:p>
        </w:tc>
        <w:tc>
          <w:tcPr>
            <w:tcW w:w="2389" w:type="dxa"/>
          </w:tcPr>
          <w:p w14:paraId="7560943A" w14:textId="1DFA3C40"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p>
        </w:tc>
        <w:tc>
          <w:tcPr>
            <w:tcW w:w="2461" w:type="dxa"/>
          </w:tcPr>
          <w:p w14:paraId="1523798C"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0CFAA8BC"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1689C6A3" w14:textId="77777777" w:rsidTr="00CB2609">
        <w:tc>
          <w:tcPr>
            <w:tcW w:w="2671" w:type="dxa"/>
          </w:tcPr>
          <w:p w14:paraId="202D1187"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Demolition Water Turn Off Service</w:t>
            </w:r>
          </w:p>
        </w:tc>
        <w:tc>
          <w:tcPr>
            <w:tcW w:w="2389" w:type="dxa"/>
          </w:tcPr>
          <w:p w14:paraId="7C062AE0" w14:textId="747E0947"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p>
        </w:tc>
        <w:tc>
          <w:tcPr>
            <w:tcW w:w="2461" w:type="dxa"/>
          </w:tcPr>
          <w:p w14:paraId="13A7D47B"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288F24F6"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w:t>
            </w:r>
          </w:p>
        </w:tc>
      </w:tr>
      <w:tr w:rsidR="003D329C" w:rsidRPr="003D329C" w14:paraId="3ED00FC7" w14:textId="77777777" w:rsidTr="00CB2609">
        <w:tc>
          <w:tcPr>
            <w:tcW w:w="2671" w:type="dxa"/>
          </w:tcPr>
          <w:p w14:paraId="3E9629D1"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Water &amp; Sewer Connection Fee</w:t>
            </w:r>
          </w:p>
        </w:tc>
        <w:tc>
          <w:tcPr>
            <w:tcW w:w="2389" w:type="dxa"/>
          </w:tcPr>
          <w:p w14:paraId="21CEFF29" w14:textId="03836497"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p>
        </w:tc>
        <w:tc>
          <w:tcPr>
            <w:tcW w:w="2461" w:type="dxa"/>
          </w:tcPr>
          <w:p w14:paraId="1D1F7F45"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5C623675"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 Secondary Suite</w:t>
            </w:r>
          </w:p>
        </w:tc>
      </w:tr>
      <w:tr w:rsidR="003D329C" w:rsidRPr="003D329C" w14:paraId="1A4C7CF2" w14:textId="77777777" w:rsidTr="00CB2609">
        <w:tc>
          <w:tcPr>
            <w:tcW w:w="2671" w:type="dxa"/>
          </w:tcPr>
          <w:p w14:paraId="4EFA2700"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Water &amp; Sewer Frontage Charges</w:t>
            </w:r>
          </w:p>
        </w:tc>
        <w:tc>
          <w:tcPr>
            <w:tcW w:w="2389" w:type="dxa"/>
          </w:tcPr>
          <w:p w14:paraId="6DB6FF71" w14:textId="436B9475"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Waived</w:t>
            </w:r>
          </w:p>
        </w:tc>
        <w:tc>
          <w:tcPr>
            <w:tcW w:w="2461" w:type="dxa"/>
          </w:tcPr>
          <w:p w14:paraId="20728717"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64B54CB4"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 Rehabilitation, Secondary Suite</w:t>
            </w:r>
          </w:p>
        </w:tc>
      </w:tr>
      <w:tr w:rsidR="003D329C" w:rsidRPr="003D329C" w14:paraId="2E021681" w14:textId="77777777" w:rsidTr="00CB2609">
        <w:tc>
          <w:tcPr>
            <w:tcW w:w="2671" w:type="dxa"/>
          </w:tcPr>
          <w:p w14:paraId="03620471" w14:textId="77777777" w:rsidR="003D329C" w:rsidRPr="003D329C" w:rsidRDefault="003D329C" w:rsidP="003D329C">
            <w:pPr>
              <w:spacing w:before="0" w:after="0"/>
              <w:rPr>
                <w:rFonts w:eastAsiaTheme="minorHAnsi" w:cs="Arial"/>
                <w:lang w:val="en-CA"/>
              </w:rPr>
            </w:pPr>
            <w:r w:rsidRPr="003D329C">
              <w:rPr>
                <w:rFonts w:eastAsiaTheme="minorHAnsi" w:cs="Arial"/>
                <w:lang w:val="en-CA"/>
              </w:rPr>
              <w:lastRenderedPageBreak/>
              <w:t>Water Responsibility Agreement Security</w:t>
            </w:r>
          </w:p>
        </w:tc>
        <w:tc>
          <w:tcPr>
            <w:tcW w:w="2389" w:type="dxa"/>
          </w:tcPr>
          <w:p w14:paraId="62512330"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Security requirement waived</w:t>
            </w:r>
          </w:p>
        </w:tc>
        <w:tc>
          <w:tcPr>
            <w:tcW w:w="2461" w:type="dxa"/>
          </w:tcPr>
          <w:p w14:paraId="5DBFD4DB"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2355CF65"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714E8B28" w14:textId="77777777" w:rsidTr="00CB2609">
        <w:tc>
          <w:tcPr>
            <w:tcW w:w="2671" w:type="dxa"/>
          </w:tcPr>
          <w:p w14:paraId="21263146"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 xml:space="preserve">Municipal Improvement Cost Sharing </w:t>
            </w:r>
          </w:p>
        </w:tc>
        <w:tc>
          <w:tcPr>
            <w:tcW w:w="2389" w:type="dxa"/>
          </w:tcPr>
          <w:p w14:paraId="513D1F2C" w14:textId="10BD124B" w:rsidR="003D329C" w:rsidRPr="003D329C" w:rsidRDefault="00642362" w:rsidP="003D329C">
            <w:pPr>
              <w:spacing w:before="0" w:after="0"/>
              <w:rPr>
                <w:rFonts w:asciiTheme="minorHAnsi" w:eastAsiaTheme="minorHAnsi" w:hAnsiTheme="minorHAnsi" w:cstheme="minorBidi"/>
                <w:sz w:val="22"/>
                <w:szCs w:val="22"/>
                <w:lang w:val="en-CA"/>
              </w:rPr>
            </w:pPr>
            <w:r>
              <w:rPr>
                <w:rFonts w:eastAsiaTheme="minorHAnsi" w:cs="Arial"/>
                <w:lang w:val="en-CA"/>
              </w:rPr>
              <w:t>Exemption</w:t>
            </w:r>
          </w:p>
        </w:tc>
        <w:tc>
          <w:tcPr>
            <w:tcW w:w="2461" w:type="dxa"/>
          </w:tcPr>
          <w:p w14:paraId="30E1C589"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KLH, CHP, PNP, PD, HH</w:t>
            </w:r>
          </w:p>
        </w:tc>
        <w:tc>
          <w:tcPr>
            <w:tcW w:w="2055" w:type="dxa"/>
          </w:tcPr>
          <w:p w14:paraId="6063D77C" w14:textId="77777777" w:rsidR="003D329C" w:rsidRPr="003D329C" w:rsidRDefault="003D329C" w:rsidP="003D329C">
            <w:pPr>
              <w:spacing w:before="0" w:after="0"/>
              <w:rPr>
                <w:rFonts w:asciiTheme="minorHAnsi" w:eastAsiaTheme="minorHAnsi" w:hAnsiTheme="minorHAnsi" w:cstheme="minorBidi"/>
                <w:sz w:val="22"/>
                <w:szCs w:val="22"/>
                <w:lang w:val="en-CA"/>
              </w:rPr>
            </w:pPr>
            <w:r w:rsidRPr="003D329C">
              <w:rPr>
                <w:rFonts w:eastAsiaTheme="minorHAnsi" w:cs="Arial"/>
                <w:lang w:val="en-CA"/>
              </w:rPr>
              <w:t>New Rental or Ownership Construction</w:t>
            </w:r>
          </w:p>
        </w:tc>
      </w:tr>
      <w:tr w:rsidR="003D329C" w:rsidRPr="003D329C" w14:paraId="0BFB7BAA" w14:textId="77777777" w:rsidTr="00CB2609">
        <w:tc>
          <w:tcPr>
            <w:tcW w:w="2671" w:type="dxa"/>
          </w:tcPr>
          <w:p w14:paraId="6D3D78F0"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Debt Servicing Assistance</w:t>
            </w:r>
          </w:p>
        </w:tc>
        <w:tc>
          <w:tcPr>
            <w:tcW w:w="2389" w:type="dxa"/>
          </w:tcPr>
          <w:p w14:paraId="6A556F51"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Secured financing only, reimbursement of interest and principal payments responsibility of proponent</w:t>
            </w:r>
          </w:p>
        </w:tc>
        <w:tc>
          <w:tcPr>
            <w:tcW w:w="2461" w:type="dxa"/>
          </w:tcPr>
          <w:p w14:paraId="6A9C786D"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w:t>
            </w:r>
          </w:p>
        </w:tc>
        <w:tc>
          <w:tcPr>
            <w:tcW w:w="2055" w:type="dxa"/>
          </w:tcPr>
          <w:p w14:paraId="0FC4CD0F"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New rental construction</w:t>
            </w:r>
          </w:p>
        </w:tc>
      </w:tr>
      <w:tr w:rsidR="003D329C" w:rsidRPr="003D329C" w14:paraId="045F8D83" w14:textId="77777777" w:rsidTr="00CB2609">
        <w:tc>
          <w:tcPr>
            <w:tcW w:w="2671" w:type="dxa"/>
          </w:tcPr>
          <w:p w14:paraId="49C3D99C"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Cash Contribution</w:t>
            </w:r>
          </w:p>
        </w:tc>
        <w:tc>
          <w:tcPr>
            <w:tcW w:w="2389" w:type="dxa"/>
          </w:tcPr>
          <w:p w14:paraId="79801FFE"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Grant</w:t>
            </w:r>
          </w:p>
        </w:tc>
        <w:tc>
          <w:tcPr>
            <w:tcW w:w="2461" w:type="dxa"/>
          </w:tcPr>
          <w:p w14:paraId="435849CF"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w:t>
            </w:r>
          </w:p>
        </w:tc>
        <w:tc>
          <w:tcPr>
            <w:tcW w:w="2055" w:type="dxa"/>
          </w:tcPr>
          <w:p w14:paraId="2D1471D4"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New rental construction</w:t>
            </w:r>
          </w:p>
        </w:tc>
      </w:tr>
      <w:tr w:rsidR="003D329C" w:rsidRPr="003D329C" w14:paraId="0C37E984" w14:textId="77777777" w:rsidTr="00CB2609">
        <w:tc>
          <w:tcPr>
            <w:tcW w:w="2671" w:type="dxa"/>
          </w:tcPr>
          <w:p w14:paraId="60C4969B" w14:textId="4D65D319" w:rsidR="003D329C" w:rsidRPr="003D329C" w:rsidRDefault="003D329C" w:rsidP="003D329C">
            <w:pPr>
              <w:spacing w:before="0" w:after="0"/>
              <w:rPr>
                <w:rFonts w:eastAsiaTheme="minorHAnsi" w:cs="Arial"/>
                <w:lang w:val="en-CA"/>
              </w:rPr>
            </w:pPr>
            <w:r w:rsidRPr="003D329C">
              <w:rPr>
                <w:rFonts w:eastAsiaTheme="minorHAnsi" w:cs="Arial"/>
                <w:lang w:val="en-CA"/>
              </w:rPr>
              <w:t>Rent Suppl</w:t>
            </w:r>
            <w:r w:rsidR="00642362">
              <w:rPr>
                <w:rFonts w:eastAsiaTheme="minorHAnsi" w:cs="Arial"/>
                <w:lang w:val="en-CA"/>
              </w:rPr>
              <w:t>e</w:t>
            </w:r>
            <w:r w:rsidRPr="003D329C">
              <w:rPr>
                <w:rFonts w:eastAsiaTheme="minorHAnsi" w:cs="Arial"/>
                <w:lang w:val="en-CA"/>
              </w:rPr>
              <w:t>ment/Housing Allowance Funding</w:t>
            </w:r>
          </w:p>
        </w:tc>
        <w:tc>
          <w:tcPr>
            <w:tcW w:w="2389" w:type="dxa"/>
          </w:tcPr>
          <w:p w14:paraId="70D2A51A"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Operating subsidy</w:t>
            </w:r>
          </w:p>
        </w:tc>
        <w:tc>
          <w:tcPr>
            <w:tcW w:w="2461" w:type="dxa"/>
          </w:tcPr>
          <w:p w14:paraId="5C14CCC1"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KLH, CHP, PNP, PD, HO</w:t>
            </w:r>
          </w:p>
        </w:tc>
        <w:tc>
          <w:tcPr>
            <w:tcW w:w="2055" w:type="dxa"/>
          </w:tcPr>
          <w:p w14:paraId="25000120" w14:textId="77777777" w:rsidR="003D329C" w:rsidRPr="003D329C" w:rsidRDefault="003D329C" w:rsidP="003D329C">
            <w:pPr>
              <w:spacing w:before="0" w:after="0"/>
              <w:rPr>
                <w:rFonts w:eastAsiaTheme="minorHAnsi" w:cs="Arial"/>
                <w:lang w:val="en-CA"/>
              </w:rPr>
            </w:pPr>
            <w:r w:rsidRPr="003D329C">
              <w:rPr>
                <w:rFonts w:eastAsiaTheme="minorHAnsi" w:cs="Arial"/>
                <w:lang w:val="en-CA"/>
              </w:rPr>
              <w:t>Existing Rental</w:t>
            </w:r>
          </w:p>
        </w:tc>
      </w:tr>
    </w:tbl>
    <w:p w14:paraId="58062BF7"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t>Other Funding:</w:t>
      </w:r>
    </w:p>
    <w:p w14:paraId="7FD199B7" w14:textId="327EDF9F" w:rsidR="003D329C" w:rsidRPr="003D329C" w:rsidRDefault="003D329C" w:rsidP="003D329C">
      <w:pPr>
        <w:spacing w:before="0" w:line="276" w:lineRule="auto"/>
        <w:rPr>
          <w:rFonts w:eastAsiaTheme="minorHAnsi" w:cs="Arial"/>
          <w:lang w:val="en-CA"/>
        </w:rPr>
      </w:pPr>
      <w:r w:rsidRPr="003D329C">
        <w:rPr>
          <w:rFonts w:eastAsiaTheme="minorHAnsi" w:cs="Arial"/>
          <w:lang w:val="en-CA"/>
        </w:rPr>
        <w:t xml:space="preserve">In addition, the Service Manager may have access to allocations of funding under certain federal and/or provincial programs. Any funding available within these programs will be communicated </w:t>
      </w:r>
      <w:r w:rsidR="00642362">
        <w:rPr>
          <w:rFonts w:eastAsiaTheme="minorHAnsi" w:cs="Arial"/>
          <w:lang w:val="en-CA"/>
        </w:rPr>
        <w:t>on the City’s website.</w:t>
      </w:r>
    </w:p>
    <w:p w14:paraId="2702EC68"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t>Rental Affordability Period:</w:t>
      </w:r>
    </w:p>
    <w:p w14:paraId="36340D0D"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t>In order to receive incentives, proponents will be required to meet affordable rents for a period of time. That period of time, or affordability period, will be established by considering the per unit contribution to the project by totalling the value of all incentives. The affordability period would range from a minimum of five years to a maximum of forty years.</w:t>
      </w:r>
    </w:p>
    <w:p w14:paraId="05E57934"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t>Ownership Affordability Period:</w:t>
      </w:r>
    </w:p>
    <w:p w14:paraId="4F676C53"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t>In order to receive incentives, proponents will be required to initially offer the home at an affordable price, as agreed to by Service Manager.</w:t>
      </w:r>
    </w:p>
    <w:p w14:paraId="4DB37AFA"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t>Agreements:</w:t>
      </w:r>
    </w:p>
    <w:p w14:paraId="7981A5F4"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lastRenderedPageBreak/>
        <w:t>New development ownership and rental proponents will enter into formal agreements that outline the requirements including the affordable home prices or rents, the affordability period and the value of each incentive provided. The total value of the incentives will be registered on the title of the property. Registrations will not be removed until conditions are met (home sold at affordable price or end of affordability period). Should the agreement be breached at any point during its term, the full value of the original incentives provided will become due and payable to the Service Manager.</w:t>
      </w:r>
    </w:p>
    <w:p w14:paraId="7DC8795F" w14:textId="77777777" w:rsidR="003D329C" w:rsidRPr="003D329C" w:rsidRDefault="003D329C" w:rsidP="003D329C">
      <w:pPr>
        <w:spacing w:line="276" w:lineRule="auto"/>
        <w:rPr>
          <w:rFonts w:eastAsiaTheme="minorHAnsi" w:cs="Arial"/>
          <w:lang w:val="en-CA"/>
        </w:rPr>
      </w:pPr>
      <w:r w:rsidRPr="003D329C">
        <w:rPr>
          <w:rFonts w:eastAsiaTheme="minorHAnsi" w:cs="Arial"/>
          <w:lang w:val="en-CA"/>
        </w:rPr>
        <w:t xml:space="preserve">Existing rental proponents receiving rent supplement or housing allowance subsidies will enter into agreements that outline the requirements including the rents and </w:t>
      </w:r>
      <w:proofErr w:type="spellStart"/>
      <w:r w:rsidRPr="003D329C">
        <w:rPr>
          <w:rFonts w:eastAsiaTheme="minorHAnsi" w:cs="Arial"/>
          <w:lang w:val="en-CA"/>
        </w:rPr>
        <w:t>affordabiltity</w:t>
      </w:r>
      <w:proofErr w:type="spellEnd"/>
      <w:r w:rsidRPr="003D329C">
        <w:rPr>
          <w:rFonts w:eastAsiaTheme="minorHAnsi" w:cs="Arial"/>
          <w:lang w:val="en-CA"/>
        </w:rPr>
        <w:t xml:space="preserve"> periods. </w:t>
      </w:r>
      <w:proofErr w:type="gramStart"/>
      <w:r w:rsidRPr="003D329C">
        <w:rPr>
          <w:rFonts w:eastAsiaTheme="minorHAnsi" w:cs="Arial"/>
          <w:lang w:val="en-CA"/>
        </w:rPr>
        <w:t>These agreement</w:t>
      </w:r>
      <w:proofErr w:type="gramEnd"/>
      <w:r w:rsidRPr="003D329C">
        <w:rPr>
          <w:rFonts w:eastAsiaTheme="minorHAnsi" w:cs="Arial"/>
          <w:lang w:val="en-CA"/>
        </w:rPr>
        <w:t xml:space="preserve"> are not registered on title as they are receiving monthly payments in order for tenants to receive a subsidy.</w:t>
      </w:r>
    </w:p>
    <w:p w14:paraId="0EE53BE8" w14:textId="77777777" w:rsidR="003D329C" w:rsidRPr="003D329C" w:rsidRDefault="003D329C" w:rsidP="003D329C">
      <w:pPr>
        <w:keepNext/>
        <w:keepLines/>
        <w:outlineLvl w:val="0"/>
        <w:rPr>
          <w:rFonts w:eastAsiaTheme="majorEastAsia" w:cstheme="majorBidi"/>
          <w:b/>
          <w:bCs/>
          <w:sz w:val="28"/>
          <w:szCs w:val="28"/>
        </w:rPr>
      </w:pPr>
      <w:r w:rsidRPr="003D329C">
        <w:rPr>
          <w:rFonts w:eastAsiaTheme="majorEastAsia" w:cstheme="majorBidi"/>
          <w:b/>
          <w:bCs/>
          <w:sz w:val="28"/>
          <w:szCs w:val="28"/>
        </w:rPr>
        <w:t>Policy:</w:t>
      </w:r>
    </w:p>
    <w:p w14:paraId="0B37F9A4" w14:textId="77777777" w:rsidR="003D329C" w:rsidRPr="003D329C" w:rsidRDefault="003D329C" w:rsidP="003D329C">
      <w:pPr>
        <w:numPr>
          <w:ilvl w:val="0"/>
          <w:numId w:val="34"/>
        </w:numPr>
        <w:spacing w:before="0" w:after="200" w:line="276" w:lineRule="auto"/>
        <w:contextualSpacing/>
        <w:rPr>
          <w:rFonts w:eastAsiaTheme="minorHAnsi" w:cs="Arial"/>
          <w:lang w:val="en-CA"/>
        </w:rPr>
      </w:pPr>
      <w:r w:rsidRPr="003D329C">
        <w:rPr>
          <w:rFonts w:eastAsiaTheme="minorHAnsi" w:cs="Arial"/>
          <w:lang w:val="en-CA"/>
        </w:rPr>
        <w:t xml:space="preserve">Following the scope of this policy staff will develop management directives, standard operating procedures, applications, information and education packages.  </w:t>
      </w:r>
    </w:p>
    <w:p w14:paraId="7D70D18E" w14:textId="6142ABFE" w:rsidR="003D329C" w:rsidRPr="003D329C" w:rsidRDefault="00642362" w:rsidP="003D329C">
      <w:pPr>
        <w:numPr>
          <w:ilvl w:val="0"/>
          <w:numId w:val="34"/>
        </w:numPr>
        <w:spacing w:before="0" w:after="200" w:line="276" w:lineRule="auto"/>
        <w:contextualSpacing/>
        <w:rPr>
          <w:rFonts w:eastAsiaTheme="minorHAnsi" w:cs="Arial"/>
          <w:lang w:val="en-CA"/>
        </w:rPr>
      </w:pPr>
      <w:r>
        <w:rPr>
          <w:rFonts w:eastAsiaTheme="minorHAnsi" w:cs="Arial"/>
          <w:lang w:val="en-CA"/>
        </w:rPr>
        <w:t xml:space="preserve">Information including pre-recorded webinars will be available on the </w:t>
      </w:r>
      <w:r w:rsidR="003D329C" w:rsidRPr="003D329C">
        <w:rPr>
          <w:rFonts w:eastAsiaTheme="minorHAnsi" w:cs="Arial"/>
          <w:lang w:val="en-CA"/>
        </w:rPr>
        <w:t xml:space="preserve">City and the County </w:t>
      </w:r>
      <w:r>
        <w:rPr>
          <w:rFonts w:eastAsiaTheme="minorHAnsi" w:cs="Arial"/>
          <w:lang w:val="en-CA"/>
        </w:rPr>
        <w:t xml:space="preserve">websites </w:t>
      </w:r>
      <w:r w:rsidR="003D329C" w:rsidRPr="003D329C">
        <w:rPr>
          <w:rFonts w:eastAsiaTheme="minorHAnsi" w:cs="Arial"/>
          <w:lang w:val="en-CA"/>
        </w:rPr>
        <w:t>to interested proponents comprising at minimum of:</w:t>
      </w:r>
    </w:p>
    <w:p w14:paraId="6C2431A4" w14:textId="77777777" w:rsidR="003D329C" w:rsidRPr="003D329C" w:rsidRDefault="003D329C" w:rsidP="003D329C">
      <w:pPr>
        <w:numPr>
          <w:ilvl w:val="1"/>
          <w:numId w:val="34"/>
        </w:numPr>
        <w:spacing w:before="0" w:after="200" w:line="276" w:lineRule="auto"/>
        <w:contextualSpacing/>
        <w:rPr>
          <w:rFonts w:eastAsiaTheme="minorHAnsi" w:cs="Arial"/>
          <w:lang w:val="en-CA"/>
        </w:rPr>
      </w:pPr>
      <w:r w:rsidRPr="003D329C">
        <w:rPr>
          <w:rFonts w:eastAsiaTheme="minorHAnsi" w:cs="Arial"/>
          <w:lang w:val="en-CA"/>
        </w:rPr>
        <w:t>Overview of the plan and targets</w:t>
      </w:r>
    </w:p>
    <w:p w14:paraId="43914090" w14:textId="77777777" w:rsidR="003D329C" w:rsidRPr="003D329C" w:rsidRDefault="003D329C" w:rsidP="003D329C">
      <w:pPr>
        <w:numPr>
          <w:ilvl w:val="1"/>
          <w:numId w:val="34"/>
        </w:numPr>
        <w:spacing w:before="0" w:after="200" w:line="276" w:lineRule="auto"/>
        <w:contextualSpacing/>
        <w:rPr>
          <w:rFonts w:eastAsiaTheme="minorHAnsi" w:cs="Arial"/>
          <w:lang w:val="en-CA"/>
        </w:rPr>
      </w:pPr>
      <w:r w:rsidRPr="003D329C">
        <w:rPr>
          <w:rFonts w:eastAsiaTheme="minorHAnsi" w:cs="Arial"/>
          <w:lang w:val="en-CA"/>
        </w:rPr>
        <w:t>Policy overview</w:t>
      </w:r>
    </w:p>
    <w:p w14:paraId="3666A204" w14:textId="0090ADAF" w:rsidR="003D329C" w:rsidRPr="003D329C" w:rsidRDefault="00642362" w:rsidP="003D329C">
      <w:pPr>
        <w:numPr>
          <w:ilvl w:val="1"/>
          <w:numId w:val="34"/>
        </w:numPr>
        <w:spacing w:before="0" w:after="200" w:line="276" w:lineRule="auto"/>
        <w:contextualSpacing/>
        <w:rPr>
          <w:rFonts w:eastAsiaTheme="minorHAnsi" w:cs="Arial"/>
          <w:lang w:val="en-CA"/>
        </w:rPr>
      </w:pPr>
      <w:r>
        <w:rPr>
          <w:rFonts w:eastAsiaTheme="minorHAnsi" w:cs="Arial"/>
          <w:lang w:val="en-CA"/>
        </w:rPr>
        <w:t>How to participate</w:t>
      </w:r>
    </w:p>
    <w:p w14:paraId="44901235" w14:textId="4031E559" w:rsidR="003D329C" w:rsidRPr="003D329C" w:rsidRDefault="00642362" w:rsidP="003D329C">
      <w:pPr>
        <w:numPr>
          <w:ilvl w:val="1"/>
          <w:numId w:val="34"/>
        </w:numPr>
        <w:spacing w:before="0" w:after="200" w:line="276" w:lineRule="auto"/>
        <w:contextualSpacing/>
        <w:rPr>
          <w:rFonts w:eastAsiaTheme="minorHAnsi" w:cs="Arial"/>
          <w:lang w:val="en-CA"/>
        </w:rPr>
      </w:pPr>
      <w:r>
        <w:rPr>
          <w:rFonts w:eastAsiaTheme="minorHAnsi" w:cs="Arial"/>
          <w:lang w:val="en-CA"/>
        </w:rPr>
        <w:t>Application intake information</w:t>
      </w:r>
    </w:p>
    <w:p w14:paraId="66175983" w14:textId="16FEE096" w:rsidR="003D329C" w:rsidRPr="003D329C" w:rsidRDefault="003D329C" w:rsidP="003D329C">
      <w:pPr>
        <w:numPr>
          <w:ilvl w:val="0"/>
          <w:numId w:val="34"/>
        </w:numPr>
        <w:spacing w:before="0" w:after="200" w:line="276" w:lineRule="auto"/>
        <w:contextualSpacing/>
        <w:rPr>
          <w:rFonts w:eastAsiaTheme="minorHAnsi" w:cs="Arial"/>
          <w:lang w:val="en-CA"/>
        </w:rPr>
      </w:pPr>
      <w:r w:rsidRPr="003D329C">
        <w:rPr>
          <w:rFonts w:eastAsiaTheme="minorHAnsi" w:cs="Arial"/>
          <w:lang w:val="en-CA"/>
        </w:rPr>
        <w:t>An Expression of Interest</w:t>
      </w:r>
      <w:r w:rsidR="00642362">
        <w:rPr>
          <w:rFonts w:eastAsiaTheme="minorHAnsi" w:cs="Arial"/>
          <w:lang w:val="en-CA"/>
        </w:rPr>
        <w:t>, application and review</w:t>
      </w:r>
      <w:r w:rsidRPr="003D329C">
        <w:rPr>
          <w:rFonts w:eastAsiaTheme="minorHAnsi" w:cs="Arial"/>
          <w:lang w:val="en-CA"/>
        </w:rPr>
        <w:t xml:space="preserve"> process will be developed by staff and documented within management directives or standard operating procedures. </w:t>
      </w:r>
    </w:p>
    <w:p w14:paraId="711121F4" w14:textId="77777777" w:rsidR="001D0730" w:rsidRDefault="001D0730" w:rsidP="003D329C">
      <w:pPr>
        <w:numPr>
          <w:ilvl w:val="0"/>
          <w:numId w:val="34"/>
        </w:numPr>
        <w:spacing w:before="0" w:after="200" w:line="276" w:lineRule="auto"/>
        <w:contextualSpacing/>
        <w:rPr>
          <w:rFonts w:eastAsiaTheme="minorHAnsi" w:cs="Arial"/>
          <w:lang w:val="en-CA"/>
        </w:rPr>
      </w:pPr>
      <w:r>
        <w:rPr>
          <w:rFonts w:eastAsiaTheme="minorHAnsi" w:cs="Arial"/>
          <w:lang w:val="en-CA"/>
        </w:rPr>
        <w:t>An</w:t>
      </w:r>
      <w:r w:rsidR="003D329C" w:rsidRPr="003D329C">
        <w:rPr>
          <w:rFonts w:eastAsiaTheme="minorHAnsi" w:cs="Arial"/>
          <w:lang w:val="en-CA"/>
        </w:rPr>
        <w:t xml:space="preserve"> Expressions of Interest </w:t>
      </w:r>
      <w:r>
        <w:rPr>
          <w:rFonts w:eastAsiaTheme="minorHAnsi" w:cs="Arial"/>
          <w:lang w:val="en-CA"/>
        </w:rPr>
        <w:t>form may be submitted at any time during the year. At lease quarterly, applications from those submitting an Expression of interest, will be accepted and reviewed.</w:t>
      </w:r>
    </w:p>
    <w:p w14:paraId="28D1E3C3" w14:textId="48B11A3B" w:rsidR="003D329C" w:rsidRPr="003D329C" w:rsidRDefault="001D0730" w:rsidP="003D329C">
      <w:pPr>
        <w:numPr>
          <w:ilvl w:val="0"/>
          <w:numId w:val="34"/>
        </w:numPr>
        <w:spacing w:before="0" w:after="200" w:line="276" w:lineRule="auto"/>
        <w:contextualSpacing/>
        <w:rPr>
          <w:rFonts w:eastAsiaTheme="minorHAnsi" w:cs="Arial"/>
          <w:lang w:val="en-CA"/>
        </w:rPr>
      </w:pPr>
      <w:r>
        <w:rPr>
          <w:rFonts w:eastAsiaTheme="minorHAnsi" w:cs="Arial"/>
          <w:lang w:val="en-CA"/>
        </w:rPr>
        <w:t xml:space="preserve">The requirements of the application </w:t>
      </w:r>
      <w:r w:rsidR="003D329C" w:rsidRPr="003D329C">
        <w:rPr>
          <w:rFonts w:eastAsiaTheme="minorHAnsi" w:cs="Arial"/>
          <w:lang w:val="en-CA"/>
        </w:rPr>
        <w:t>process will include, but not be limited to some of the following:</w:t>
      </w:r>
    </w:p>
    <w:p w14:paraId="171B7C45" w14:textId="77777777" w:rsidR="003D329C" w:rsidRPr="003D329C" w:rsidRDefault="003D329C" w:rsidP="003D329C">
      <w:pPr>
        <w:numPr>
          <w:ilvl w:val="1"/>
          <w:numId w:val="34"/>
        </w:numPr>
        <w:spacing w:before="0" w:after="200" w:line="276" w:lineRule="auto"/>
        <w:contextualSpacing/>
        <w:rPr>
          <w:rFonts w:eastAsiaTheme="minorHAnsi" w:cs="Arial"/>
          <w:lang w:val="en-CA"/>
        </w:rPr>
      </w:pPr>
      <w:r w:rsidRPr="003D329C">
        <w:rPr>
          <w:rFonts w:eastAsiaTheme="minorHAnsi" w:cs="Arial"/>
          <w:lang w:val="en-CA"/>
        </w:rPr>
        <w:t>How the project meets the affordable housing targets</w:t>
      </w:r>
    </w:p>
    <w:p w14:paraId="147B2109" w14:textId="77777777" w:rsidR="003D329C" w:rsidRPr="003D329C" w:rsidRDefault="003D329C" w:rsidP="003D329C">
      <w:pPr>
        <w:numPr>
          <w:ilvl w:val="1"/>
          <w:numId w:val="34"/>
        </w:numPr>
        <w:spacing w:before="0" w:after="200" w:line="276" w:lineRule="auto"/>
        <w:contextualSpacing/>
        <w:rPr>
          <w:rFonts w:eastAsiaTheme="minorHAnsi" w:cs="Arial"/>
          <w:lang w:val="en-CA"/>
        </w:rPr>
      </w:pPr>
      <w:r w:rsidRPr="003D329C">
        <w:rPr>
          <w:rFonts w:eastAsiaTheme="minorHAnsi" w:cs="Arial"/>
          <w:lang w:val="en-CA"/>
        </w:rPr>
        <w:t xml:space="preserve">A calculation and a sliding scale which provides the anticipated price or rental charge and affordability period based the dollar value of the incentives or funding being provided </w:t>
      </w:r>
    </w:p>
    <w:p w14:paraId="52AF1210" w14:textId="6A91BA39" w:rsidR="003D329C" w:rsidRPr="003D329C" w:rsidRDefault="003D329C" w:rsidP="003D329C">
      <w:pPr>
        <w:numPr>
          <w:ilvl w:val="0"/>
          <w:numId w:val="34"/>
        </w:numPr>
        <w:spacing w:before="0" w:after="200" w:line="276" w:lineRule="auto"/>
        <w:contextualSpacing/>
        <w:rPr>
          <w:rFonts w:eastAsiaTheme="minorHAnsi" w:cs="Arial"/>
          <w:lang w:val="en-CA"/>
        </w:rPr>
      </w:pPr>
      <w:r w:rsidRPr="003D329C">
        <w:rPr>
          <w:rFonts w:eastAsiaTheme="minorHAnsi" w:cs="Arial"/>
          <w:lang w:val="en-CA"/>
        </w:rPr>
        <w:t xml:space="preserve">Staff will assess </w:t>
      </w:r>
      <w:r w:rsidR="001D0730">
        <w:rPr>
          <w:rFonts w:eastAsiaTheme="minorHAnsi" w:cs="Arial"/>
          <w:lang w:val="en-CA"/>
        </w:rPr>
        <w:t>applications</w:t>
      </w:r>
      <w:r w:rsidRPr="003D329C">
        <w:rPr>
          <w:rFonts w:eastAsiaTheme="minorHAnsi" w:cs="Arial"/>
          <w:lang w:val="en-CA"/>
        </w:rPr>
        <w:t xml:space="preserve"> in order to make recommendations</w:t>
      </w:r>
      <w:r w:rsidR="001D0730">
        <w:rPr>
          <w:rFonts w:eastAsiaTheme="minorHAnsi" w:cs="Arial"/>
          <w:lang w:val="en-CA"/>
        </w:rPr>
        <w:t xml:space="preserve"> which where required, will be included in </w:t>
      </w:r>
      <w:r w:rsidRPr="003D329C">
        <w:rPr>
          <w:rFonts w:eastAsiaTheme="minorHAnsi" w:cs="Arial"/>
          <w:lang w:val="en-CA"/>
        </w:rPr>
        <w:t xml:space="preserve">subsequent budget cycles. </w:t>
      </w:r>
    </w:p>
    <w:p w14:paraId="2154C7B5" w14:textId="77777777" w:rsidR="003D329C" w:rsidRPr="003D329C" w:rsidRDefault="003D329C" w:rsidP="003D329C">
      <w:pPr>
        <w:numPr>
          <w:ilvl w:val="0"/>
          <w:numId w:val="34"/>
        </w:numPr>
        <w:spacing w:before="0" w:after="200" w:line="276" w:lineRule="auto"/>
        <w:contextualSpacing/>
        <w:rPr>
          <w:rFonts w:eastAsiaTheme="minorHAnsi" w:cs="Arial"/>
          <w:lang w:val="en-CA"/>
        </w:rPr>
      </w:pPr>
      <w:r w:rsidRPr="003D329C">
        <w:rPr>
          <w:rFonts w:eastAsiaTheme="minorHAnsi" w:cs="Arial"/>
          <w:lang w:val="en-CA"/>
        </w:rPr>
        <w:t>Following approvals, proponents will be required to enter into municipal housing facilities agreement with the City.</w:t>
      </w:r>
    </w:p>
    <w:p w14:paraId="4C7E20B4" w14:textId="77777777" w:rsidR="003D329C" w:rsidRPr="003D329C" w:rsidRDefault="003D329C" w:rsidP="003D329C">
      <w:pPr>
        <w:keepNext/>
        <w:keepLines/>
        <w:outlineLvl w:val="0"/>
        <w:rPr>
          <w:rFonts w:eastAsiaTheme="majorEastAsia" w:cstheme="majorBidi"/>
          <w:b/>
          <w:bCs/>
          <w:sz w:val="28"/>
          <w:szCs w:val="28"/>
        </w:rPr>
      </w:pPr>
      <w:r w:rsidRPr="003D329C">
        <w:rPr>
          <w:rFonts w:eastAsiaTheme="majorEastAsia" w:cstheme="majorBidi"/>
          <w:b/>
          <w:bCs/>
          <w:sz w:val="28"/>
          <w:szCs w:val="28"/>
        </w:rPr>
        <w:lastRenderedPageBreak/>
        <w:t>Revision History:</w:t>
      </w:r>
    </w:p>
    <w:p w14:paraId="1DB96AD7" w14:textId="77777777" w:rsidR="003D329C" w:rsidRPr="003D329C" w:rsidRDefault="003D329C" w:rsidP="003D329C">
      <w:pPr>
        <w:keepNext/>
        <w:keepLines/>
        <w:outlineLvl w:val="0"/>
        <w:rPr>
          <w:rFonts w:eastAsiaTheme="majorEastAsia" w:cstheme="majorBidi"/>
          <w:b/>
          <w:bCs/>
          <w:sz w:val="28"/>
          <w:szCs w:val="28"/>
        </w:rPr>
      </w:pPr>
      <w:r w:rsidRPr="003D329C">
        <w:rPr>
          <w:rFonts w:eastAsiaTheme="majorEastAsia" w:cstheme="majorBidi"/>
          <w:b/>
          <w:bCs/>
          <w:sz w:val="28"/>
          <w:szCs w:val="28"/>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vision Table"/>
        <w:tblDescription w:val="This table includes the revision number, the date of the revision, a descrption of the revision and who requested the revision.  For details, contact the Clerk's Office."/>
      </w:tblPr>
      <w:tblGrid>
        <w:gridCol w:w="1217"/>
        <w:gridCol w:w="970"/>
        <w:gridCol w:w="3933"/>
        <w:gridCol w:w="2160"/>
      </w:tblGrid>
      <w:tr w:rsidR="003D329C" w:rsidRPr="003D329C" w14:paraId="2150FADE" w14:textId="77777777" w:rsidTr="00CB2609">
        <w:trPr>
          <w:trHeight w:val="485"/>
        </w:trPr>
        <w:tc>
          <w:tcPr>
            <w:tcW w:w="1217" w:type="dxa"/>
            <w:shd w:val="clear" w:color="auto" w:fill="auto"/>
            <w:vAlign w:val="center"/>
          </w:tcPr>
          <w:p w14:paraId="6D447E96" w14:textId="77777777" w:rsidR="003D329C" w:rsidRPr="003D329C" w:rsidRDefault="003D329C" w:rsidP="003D329C">
            <w:pPr>
              <w:spacing w:before="0" w:after="0"/>
              <w:jc w:val="center"/>
              <w:rPr>
                <w:rFonts w:cs="Arial"/>
                <w:b/>
                <w:bCs/>
              </w:rPr>
            </w:pPr>
            <w:r w:rsidRPr="003D329C">
              <w:rPr>
                <w:rFonts w:cs="Arial"/>
                <w:b/>
                <w:bCs/>
              </w:rPr>
              <w:t>Revision</w:t>
            </w:r>
          </w:p>
        </w:tc>
        <w:tc>
          <w:tcPr>
            <w:tcW w:w="970" w:type="dxa"/>
            <w:shd w:val="clear" w:color="auto" w:fill="auto"/>
            <w:vAlign w:val="center"/>
          </w:tcPr>
          <w:p w14:paraId="77B94171" w14:textId="77777777" w:rsidR="003D329C" w:rsidRPr="003D329C" w:rsidRDefault="003D329C" w:rsidP="003D329C">
            <w:pPr>
              <w:spacing w:before="0" w:after="0"/>
              <w:jc w:val="center"/>
              <w:rPr>
                <w:rFonts w:cs="Arial"/>
                <w:b/>
                <w:bCs/>
              </w:rPr>
            </w:pPr>
            <w:r w:rsidRPr="003D329C">
              <w:rPr>
                <w:rFonts w:cs="Arial"/>
                <w:b/>
                <w:bCs/>
              </w:rPr>
              <w:t>Date</w:t>
            </w:r>
          </w:p>
        </w:tc>
        <w:tc>
          <w:tcPr>
            <w:tcW w:w="3933" w:type="dxa"/>
            <w:shd w:val="clear" w:color="auto" w:fill="auto"/>
            <w:vAlign w:val="center"/>
          </w:tcPr>
          <w:p w14:paraId="19107D1F" w14:textId="5C15E1BD" w:rsidR="003D329C" w:rsidRPr="001D0730" w:rsidRDefault="001D0730" w:rsidP="003D329C">
            <w:pPr>
              <w:spacing w:before="0" w:after="0"/>
              <w:jc w:val="center"/>
              <w:rPr>
                <w:rFonts w:cs="Arial"/>
                <w:b/>
                <w:bCs/>
              </w:rPr>
            </w:pPr>
            <w:r>
              <w:rPr>
                <w:rFonts w:cs="Arial"/>
                <w:b/>
                <w:bCs/>
              </w:rPr>
              <w:t>Description of C</w:t>
            </w:r>
            <w:r w:rsidR="003D329C" w:rsidRPr="001D0730">
              <w:rPr>
                <w:rFonts w:cs="Arial"/>
                <w:b/>
                <w:bCs/>
              </w:rPr>
              <w:t>hanges</w:t>
            </w:r>
          </w:p>
        </w:tc>
        <w:tc>
          <w:tcPr>
            <w:tcW w:w="2160" w:type="dxa"/>
            <w:shd w:val="clear" w:color="auto" w:fill="auto"/>
            <w:vAlign w:val="center"/>
          </w:tcPr>
          <w:p w14:paraId="289CC57C" w14:textId="77777777" w:rsidR="003D329C" w:rsidRPr="003D329C" w:rsidRDefault="003D329C" w:rsidP="003D329C">
            <w:pPr>
              <w:spacing w:before="0" w:after="0"/>
              <w:jc w:val="center"/>
              <w:rPr>
                <w:rFonts w:cs="Arial"/>
                <w:b/>
                <w:bCs/>
              </w:rPr>
            </w:pPr>
            <w:r w:rsidRPr="003D329C">
              <w:rPr>
                <w:rFonts w:cs="Arial"/>
                <w:b/>
                <w:bCs/>
              </w:rPr>
              <w:t>Requested By</w:t>
            </w:r>
          </w:p>
        </w:tc>
      </w:tr>
      <w:tr w:rsidR="003D329C" w:rsidRPr="003D329C" w14:paraId="4DCA0B6D" w14:textId="77777777" w:rsidTr="00CB2609">
        <w:trPr>
          <w:trHeight w:val="432"/>
        </w:trPr>
        <w:tc>
          <w:tcPr>
            <w:tcW w:w="1217" w:type="dxa"/>
            <w:vAlign w:val="center"/>
          </w:tcPr>
          <w:p w14:paraId="3AB4E1CD" w14:textId="392E47E8" w:rsidR="003D329C" w:rsidRPr="003D329C" w:rsidRDefault="001D0730" w:rsidP="003D329C">
            <w:pPr>
              <w:spacing w:before="0" w:after="0"/>
              <w:rPr>
                <w:rFonts w:cs="Arial"/>
              </w:rPr>
            </w:pPr>
            <w:r>
              <w:rPr>
                <w:rFonts w:cs="Arial"/>
              </w:rPr>
              <w:t>1.0</w:t>
            </w:r>
          </w:p>
        </w:tc>
        <w:tc>
          <w:tcPr>
            <w:tcW w:w="970" w:type="dxa"/>
            <w:vAlign w:val="center"/>
          </w:tcPr>
          <w:p w14:paraId="4847566E" w14:textId="2C8A50CD" w:rsidR="003D329C" w:rsidRPr="003D329C" w:rsidRDefault="001D0730" w:rsidP="001D0730">
            <w:pPr>
              <w:spacing w:before="0" w:after="0"/>
              <w:rPr>
                <w:rFonts w:cs="Arial"/>
              </w:rPr>
            </w:pPr>
            <w:r>
              <w:rPr>
                <w:rFonts w:cs="Arial"/>
              </w:rPr>
              <w:t>Dec. 2020</w:t>
            </w:r>
          </w:p>
        </w:tc>
        <w:tc>
          <w:tcPr>
            <w:tcW w:w="3933" w:type="dxa"/>
            <w:vAlign w:val="center"/>
          </w:tcPr>
          <w:p w14:paraId="73CB9572" w14:textId="22A7EF9F" w:rsidR="003D329C" w:rsidRPr="003D329C" w:rsidRDefault="001D0730" w:rsidP="003D329C">
            <w:pPr>
              <w:spacing w:before="0" w:after="0"/>
              <w:rPr>
                <w:rFonts w:cs="Arial"/>
              </w:rPr>
            </w:pPr>
            <w:r>
              <w:rPr>
                <w:rFonts w:cs="Arial"/>
              </w:rPr>
              <w:t>Clarification of methods to provide incentives. Revision of Application</w:t>
            </w:r>
          </w:p>
        </w:tc>
        <w:tc>
          <w:tcPr>
            <w:tcW w:w="2160" w:type="dxa"/>
            <w:vAlign w:val="center"/>
          </w:tcPr>
          <w:p w14:paraId="64312E4C" w14:textId="789F579A" w:rsidR="003D329C" w:rsidRPr="003D329C" w:rsidRDefault="001D0730" w:rsidP="003D329C">
            <w:pPr>
              <w:spacing w:before="0" w:after="0"/>
              <w:rPr>
                <w:rFonts w:cs="Arial"/>
              </w:rPr>
            </w:pPr>
            <w:r>
              <w:rPr>
                <w:rFonts w:cs="Arial"/>
              </w:rPr>
              <w:t>Manager, Human Services</w:t>
            </w:r>
          </w:p>
        </w:tc>
      </w:tr>
      <w:tr w:rsidR="003D329C" w:rsidRPr="003D329C" w14:paraId="5B186C87" w14:textId="77777777" w:rsidTr="00CB2609">
        <w:trPr>
          <w:trHeight w:val="432"/>
        </w:trPr>
        <w:tc>
          <w:tcPr>
            <w:tcW w:w="1217" w:type="dxa"/>
            <w:vAlign w:val="center"/>
          </w:tcPr>
          <w:p w14:paraId="5B252B10" w14:textId="77777777" w:rsidR="003D329C" w:rsidRPr="003D329C" w:rsidRDefault="003D329C" w:rsidP="003D329C">
            <w:pPr>
              <w:spacing w:before="0" w:after="0"/>
              <w:rPr>
                <w:rFonts w:cs="Arial"/>
              </w:rPr>
            </w:pPr>
          </w:p>
        </w:tc>
        <w:tc>
          <w:tcPr>
            <w:tcW w:w="970" w:type="dxa"/>
            <w:vAlign w:val="center"/>
          </w:tcPr>
          <w:p w14:paraId="3BF1F62E" w14:textId="77777777" w:rsidR="003D329C" w:rsidRPr="003D329C" w:rsidRDefault="003D329C" w:rsidP="003D329C">
            <w:pPr>
              <w:spacing w:before="0" w:after="0"/>
              <w:rPr>
                <w:rFonts w:cs="Arial"/>
              </w:rPr>
            </w:pPr>
          </w:p>
        </w:tc>
        <w:tc>
          <w:tcPr>
            <w:tcW w:w="3933" w:type="dxa"/>
            <w:vAlign w:val="center"/>
          </w:tcPr>
          <w:p w14:paraId="4C7E15BB" w14:textId="77777777" w:rsidR="003D329C" w:rsidRPr="003D329C" w:rsidRDefault="003D329C" w:rsidP="003D329C">
            <w:pPr>
              <w:spacing w:before="0" w:after="0"/>
              <w:rPr>
                <w:rFonts w:cs="Arial"/>
              </w:rPr>
            </w:pPr>
          </w:p>
        </w:tc>
        <w:tc>
          <w:tcPr>
            <w:tcW w:w="2160" w:type="dxa"/>
            <w:vAlign w:val="center"/>
          </w:tcPr>
          <w:p w14:paraId="1C148AAA" w14:textId="77777777" w:rsidR="003D329C" w:rsidRPr="003D329C" w:rsidRDefault="003D329C" w:rsidP="003D329C">
            <w:pPr>
              <w:spacing w:before="0" w:after="0"/>
              <w:rPr>
                <w:rFonts w:cs="Arial"/>
              </w:rPr>
            </w:pPr>
          </w:p>
        </w:tc>
      </w:tr>
      <w:tr w:rsidR="003D329C" w:rsidRPr="003D329C" w14:paraId="38058FF8" w14:textId="77777777" w:rsidTr="00CB2609">
        <w:trPr>
          <w:trHeight w:val="432"/>
        </w:trPr>
        <w:tc>
          <w:tcPr>
            <w:tcW w:w="1217" w:type="dxa"/>
            <w:vAlign w:val="center"/>
          </w:tcPr>
          <w:p w14:paraId="53086FE7" w14:textId="77777777" w:rsidR="003D329C" w:rsidRPr="003D329C" w:rsidRDefault="003D329C" w:rsidP="003D329C">
            <w:pPr>
              <w:spacing w:before="0" w:after="0"/>
              <w:rPr>
                <w:rFonts w:cs="Arial"/>
              </w:rPr>
            </w:pPr>
          </w:p>
        </w:tc>
        <w:tc>
          <w:tcPr>
            <w:tcW w:w="970" w:type="dxa"/>
            <w:vAlign w:val="center"/>
          </w:tcPr>
          <w:p w14:paraId="05B9CA3D" w14:textId="77777777" w:rsidR="003D329C" w:rsidRPr="003D329C" w:rsidRDefault="003D329C" w:rsidP="003D329C">
            <w:pPr>
              <w:spacing w:before="0" w:after="0"/>
              <w:rPr>
                <w:rFonts w:cs="Arial"/>
              </w:rPr>
            </w:pPr>
          </w:p>
        </w:tc>
        <w:tc>
          <w:tcPr>
            <w:tcW w:w="3933" w:type="dxa"/>
            <w:vAlign w:val="center"/>
          </w:tcPr>
          <w:p w14:paraId="4390270E" w14:textId="77777777" w:rsidR="003D329C" w:rsidRPr="003D329C" w:rsidRDefault="003D329C" w:rsidP="003D329C">
            <w:pPr>
              <w:spacing w:before="0" w:after="0"/>
              <w:rPr>
                <w:rFonts w:cs="Arial"/>
              </w:rPr>
            </w:pPr>
          </w:p>
        </w:tc>
        <w:tc>
          <w:tcPr>
            <w:tcW w:w="2160" w:type="dxa"/>
            <w:vAlign w:val="center"/>
          </w:tcPr>
          <w:p w14:paraId="0C3713F7" w14:textId="77777777" w:rsidR="003D329C" w:rsidRPr="003D329C" w:rsidRDefault="003D329C" w:rsidP="003D329C">
            <w:pPr>
              <w:spacing w:before="0" w:after="0"/>
              <w:rPr>
                <w:rFonts w:cs="Arial"/>
              </w:rPr>
            </w:pPr>
          </w:p>
        </w:tc>
      </w:tr>
      <w:tr w:rsidR="003D329C" w:rsidRPr="003D329C" w14:paraId="1BDEAFDA" w14:textId="77777777" w:rsidTr="00CB2609">
        <w:trPr>
          <w:trHeight w:val="432"/>
        </w:trPr>
        <w:tc>
          <w:tcPr>
            <w:tcW w:w="1217" w:type="dxa"/>
            <w:vAlign w:val="center"/>
          </w:tcPr>
          <w:p w14:paraId="4871017F" w14:textId="77777777" w:rsidR="003D329C" w:rsidRPr="003D329C" w:rsidRDefault="003D329C" w:rsidP="003D329C">
            <w:pPr>
              <w:spacing w:before="0" w:after="0"/>
              <w:rPr>
                <w:rFonts w:cs="Arial"/>
              </w:rPr>
            </w:pPr>
          </w:p>
        </w:tc>
        <w:tc>
          <w:tcPr>
            <w:tcW w:w="970" w:type="dxa"/>
            <w:vAlign w:val="center"/>
          </w:tcPr>
          <w:p w14:paraId="32534E43" w14:textId="77777777" w:rsidR="003D329C" w:rsidRPr="003D329C" w:rsidRDefault="003D329C" w:rsidP="003D329C">
            <w:pPr>
              <w:spacing w:before="0" w:after="0"/>
              <w:rPr>
                <w:rFonts w:cs="Arial"/>
              </w:rPr>
            </w:pPr>
          </w:p>
        </w:tc>
        <w:tc>
          <w:tcPr>
            <w:tcW w:w="3933" w:type="dxa"/>
            <w:vAlign w:val="center"/>
          </w:tcPr>
          <w:p w14:paraId="40EE341C" w14:textId="77777777" w:rsidR="003D329C" w:rsidRPr="003D329C" w:rsidRDefault="003D329C" w:rsidP="003D329C">
            <w:pPr>
              <w:spacing w:before="0" w:after="0"/>
              <w:rPr>
                <w:rFonts w:cs="Arial"/>
              </w:rPr>
            </w:pPr>
          </w:p>
        </w:tc>
        <w:tc>
          <w:tcPr>
            <w:tcW w:w="2160" w:type="dxa"/>
            <w:vAlign w:val="center"/>
          </w:tcPr>
          <w:p w14:paraId="0D51F2DD" w14:textId="77777777" w:rsidR="003D329C" w:rsidRPr="003D329C" w:rsidRDefault="003D329C" w:rsidP="003D329C">
            <w:pPr>
              <w:spacing w:before="0" w:after="0"/>
              <w:rPr>
                <w:rFonts w:cs="Arial"/>
              </w:rPr>
            </w:pPr>
          </w:p>
        </w:tc>
      </w:tr>
      <w:tr w:rsidR="003D329C" w:rsidRPr="003D329C" w14:paraId="66796E68" w14:textId="77777777" w:rsidTr="00CB2609">
        <w:trPr>
          <w:trHeight w:val="432"/>
        </w:trPr>
        <w:tc>
          <w:tcPr>
            <w:tcW w:w="1217" w:type="dxa"/>
            <w:vAlign w:val="center"/>
          </w:tcPr>
          <w:p w14:paraId="490CEE13" w14:textId="77777777" w:rsidR="003D329C" w:rsidRPr="003D329C" w:rsidRDefault="003D329C" w:rsidP="003D329C">
            <w:pPr>
              <w:spacing w:before="0" w:after="0"/>
              <w:rPr>
                <w:rFonts w:cs="Arial"/>
              </w:rPr>
            </w:pPr>
          </w:p>
        </w:tc>
        <w:tc>
          <w:tcPr>
            <w:tcW w:w="970" w:type="dxa"/>
            <w:vAlign w:val="center"/>
          </w:tcPr>
          <w:p w14:paraId="10162B5E" w14:textId="77777777" w:rsidR="003D329C" w:rsidRPr="003D329C" w:rsidRDefault="003D329C" w:rsidP="003D329C">
            <w:pPr>
              <w:spacing w:before="0" w:after="0"/>
              <w:rPr>
                <w:rFonts w:cs="Arial"/>
              </w:rPr>
            </w:pPr>
          </w:p>
        </w:tc>
        <w:tc>
          <w:tcPr>
            <w:tcW w:w="3933" w:type="dxa"/>
            <w:vAlign w:val="center"/>
          </w:tcPr>
          <w:p w14:paraId="3D8A6E2B" w14:textId="77777777" w:rsidR="003D329C" w:rsidRPr="003D329C" w:rsidRDefault="003D329C" w:rsidP="003D329C">
            <w:pPr>
              <w:spacing w:before="0" w:after="0"/>
              <w:rPr>
                <w:rFonts w:cs="Arial"/>
              </w:rPr>
            </w:pPr>
          </w:p>
        </w:tc>
        <w:tc>
          <w:tcPr>
            <w:tcW w:w="2160" w:type="dxa"/>
            <w:vAlign w:val="center"/>
          </w:tcPr>
          <w:p w14:paraId="02B14A3B" w14:textId="77777777" w:rsidR="003D329C" w:rsidRPr="003D329C" w:rsidRDefault="003D329C" w:rsidP="003D329C">
            <w:pPr>
              <w:spacing w:before="0" w:after="0"/>
              <w:rPr>
                <w:rFonts w:cs="Arial"/>
              </w:rPr>
            </w:pPr>
          </w:p>
        </w:tc>
      </w:tr>
      <w:tr w:rsidR="003D329C" w:rsidRPr="003D329C" w14:paraId="33A04D17" w14:textId="77777777" w:rsidTr="00CB2609">
        <w:trPr>
          <w:trHeight w:val="432"/>
        </w:trPr>
        <w:tc>
          <w:tcPr>
            <w:tcW w:w="1217" w:type="dxa"/>
            <w:vAlign w:val="center"/>
          </w:tcPr>
          <w:p w14:paraId="5B8D75BB" w14:textId="77777777" w:rsidR="003D329C" w:rsidRPr="003D329C" w:rsidRDefault="003D329C" w:rsidP="003D329C">
            <w:pPr>
              <w:spacing w:before="0" w:after="0"/>
              <w:rPr>
                <w:rFonts w:cs="Arial"/>
              </w:rPr>
            </w:pPr>
          </w:p>
        </w:tc>
        <w:tc>
          <w:tcPr>
            <w:tcW w:w="970" w:type="dxa"/>
            <w:vAlign w:val="center"/>
          </w:tcPr>
          <w:p w14:paraId="5CEA71A1" w14:textId="77777777" w:rsidR="003D329C" w:rsidRPr="003D329C" w:rsidRDefault="003D329C" w:rsidP="003D329C">
            <w:pPr>
              <w:spacing w:before="0" w:after="0"/>
              <w:rPr>
                <w:rFonts w:cs="Arial"/>
              </w:rPr>
            </w:pPr>
          </w:p>
        </w:tc>
        <w:tc>
          <w:tcPr>
            <w:tcW w:w="3933" w:type="dxa"/>
            <w:vAlign w:val="center"/>
          </w:tcPr>
          <w:p w14:paraId="29162081" w14:textId="77777777" w:rsidR="003D329C" w:rsidRPr="003D329C" w:rsidRDefault="003D329C" w:rsidP="003D329C">
            <w:pPr>
              <w:spacing w:before="0" w:after="0"/>
              <w:rPr>
                <w:rFonts w:cs="Arial"/>
              </w:rPr>
            </w:pPr>
          </w:p>
        </w:tc>
        <w:tc>
          <w:tcPr>
            <w:tcW w:w="2160" w:type="dxa"/>
            <w:vAlign w:val="center"/>
          </w:tcPr>
          <w:p w14:paraId="50E9C7BC" w14:textId="77777777" w:rsidR="003D329C" w:rsidRPr="003D329C" w:rsidRDefault="003D329C" w:rsidP="003D329C">
            <w:pPr>
              <w:spacing w:before="0" w:after="0"/>
              <w:rPr>
                <w:rFonts w:cs="Arial"/>
              </w:rPr>
            </w:pPr>
          </w:p>
        </w:tc>
      </w:tr>
      <w:tr w:rsidR="003D329C" w:rsidRPr="003D329C" w14:paraId="2794A976" w14:textId="77777777" w:rsidTr="00CB2609">
        <w:trPr>
          <w:trHeight w:val="432"/>
        </w:trPr>
        <w:tc>
          <w:tcPr>
            <w:tcW w:w="1217" w:type="dxa"/>
            <w:vAlign w:val="center"/>
          </w:tcPr>
          <w:p w14:paraId="27BA445F" w14:textId="77777777" w:rsidR="003D329C" w:rsidRPr="003D329C" w:rsidRDefault="003D329C" w:rsidP="003D329C">
            <w:pPr>
              <w:spacing w:before="0" w:after="0"/>
              <w:rPr>
                <w:rFonts w:cs="Arial"/>
              </w:rPr>
            </w:pPr>
          </w:p>
        </w:tc>
        <w:tc>
          <w:tcPr>
            <w:tcW w:w="970" w:type="dxa"/>
            <w:vAlign w:val="center"/>
          </w:tcPr>
          <w:p w14:paraId="2FDDC243" w14:textId="77777777" w:rsidR="003D329C" w:rsidRPr="003D329C" w:rsidRDefault="003D329C" w:rsidP="003D329C">
            <w:pPr>
              <w:spacing w:before="0" w:after="0"/>
              <w:rPr>
                <w:rFonts w:cs="Arial"/>
              </w:rPr>
            </w:pPr>
          </w:p>
        </w:tc>
        <w:tc>
          <w:tcPr>
            <w:tcW w:w="3933" w:type="dxa"/>
            <w:vAlign w:val="center"/>
          </w:tcPr>
          <w:p w14:paraId="69723E55" w14:textId="77777777" w:rsidR="003D329C" w:rsidRPr="003D329C" w:rsidRDefault="003D329C" w:rsidP="003D329C">
            <w:pPr>
              <w:spacing w:before="0" w:after="0"/>
              <w:rPr>
                <w:rFonts w:cs="Arial"/>
              </w:rPr>
            </w:pPr>
          </w:p>
        </w:tc>
        <w:tc>
          <w:tcPr>
            <w:tcW w:w="2160" w:type="dxa"/>
            <w:vAlign w:val="center"/>
          </w:tcPr>
          <w:p w14:paraId="5ECE3358" w14:textId="77777777" w:rsidR="003D329C" w:rsidRPr="003D329C" w:rsidRDefault="003D329C" w:rsidP="003D329C">
            <w:pPr>
              <w:spacing w:before="0" w:after="0"/>
              <w:rPr>
                <w:rFonts w:cs="Arial"/>
              </w:rPr>
            </w:pPr>
          </w:p>
        </w:tc>
      </w:tr>
    </w:tbl>
    <w:p w14:paraId="5990887B" w14:textId="598A3DBA" w:rsidR="00467795" w:rsidRDefault="00467795" w:rsidP="003D329C">
      <w:pPr>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0CD5625F" w:rsidR="00226B10" w:rsidRPr="00F95061" w:rsidRDefault="00216011" w:rsidP="00F95061">
            <w:pPr>
              <w:pStyle w:val="Footer"/>
              <w:jc w:val="right"/>
              <w:rPr>
                <w:rFonts w:cs="Arial"/>
                <w:sz w:val="20"/>
                <w:szCs w:val="20"/>
              </w:rPr>
            </w:pPr>
            <w:r>
              <w:rPr>
                <w:rFonts w:cs="Arial"/>
                <w:sz w:val="20"/>
                <w:szCs w:val="20"/>
              </w:rPr>
              <w:t>CP20</w:t>
            </w:r>
            <w:r w:rsidR="00263C15">
              <w:rPr>
                <w:rFonts w:cs="Arial"/>
                <w:sz w:val="20"/>
                <w:szCs w:val="20"/>
              </w:rPr>
              <w:t>26</w:t>
            </w:r>
            <w:r>
              <w:rPr>
                <w:rFonts w:cs="Arial"/>
                <w:sz w:val="20"/>
                <w:szCs w:val="20"/>
              </w:rPr>
              <w:t>-0</w:t>
            </w:r>
            <w:r w:rsidR="00263C15">
              <w:rPr>
                <w:rFonts w:cs="Arial"/>
                <w:sz w:val="20"/>
                <w:szCs w:val="20"/>
              </w:rPr>
              <w:t>29</w:t>
            </w:r>
            <w:r>
              <w:rPr>
                <w:rFonts w:cs="Arial"/>
                <w:sz w:val="20"/>
                <w:szCs w:val="20"/>
              </w:rPr>
              <w:t xml:space="preserve"> Affordable Housin</w:t>
            </w:r>
            <w:r w:rsidR="0080161E">
              <w:rPr>
                <w:rFonts w:cs="Arial"/>
                <w:sz w:val="20"/>
                <w:szCs w:val="20"/>
              </w:rPr>
              <w:t>g</w:t>
            </w:r>
            <w:r>
              <w:rPr>
                <w:rFonts w:cs="Arial"/>
                <w:sz w:val="20"/>
                <w:szCs w:val="20"/>
              </w:rPr>
              <w:t xml:space="preserve"> Incentives</w:t>
            </w:r>
            <w:r w:rsidR="0080161E">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1D0730">
              <w:rPr>
                <w:rFonts w:cs="Arial"/>
                <w:bCs/>
                <w:noProof/>
                <w:sz w:val="20"/>
                <w:szCs w:val="20"/>
              </w:rPr>
              <w:t>7</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1D0730">
              <w:rPr>
                <w:rFonts w:cs="Arial"/>
                <w:bCs/>
                <w:noProof/>
                <w:sz w:val="20"/>
                <w:szCs w:val="20"/>
              </w:rPr>
              <w:t>7</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1" name="Picture 1"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8BF"/>
    <w:multiLevelType w:val="hybridMultilevel"/>
    <w:tmpl w:val="CCC8A01E"/>
    <w:lvl w:ilvl="0" w:tplc="AD5ADB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E3A73"/>
    <w:multiLevelType w:val="multilevel"/>
    <w:tmpl w:val="CFA6C3C6"/>
    <w:lvl w:ilvl="0">
      <w:start w:val="6"/>
      <w:numFmt w:val="decimal"/>
      <w:lvlText w:val="%1"/>
      <w:lvlJc w:val="left"/>
      <w:pPr>
        <w:ind w:left="360" w:hanging="360"/>
      </w:pPr>
      <w:rPr>
        <w:rFonts w:cs="Times New Roman" w:hint="default"/>
      </w:rPr>
    </w:lvl>
    <w:lvl w:ilvl="1">
      <w:start w:val="1"/>
      <w:numFmt w:val="decimal"/>
      <w:lvlText w:val="11.%2"/>
      <w:lvlJc w:val="left"/>
      <w:pPr>
        <w:ind w:left="1080" w:hanging="360"/>
      </w:pPr>
      <w:rPr>
        <w:rFonts w:cs="Times New Roman"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9AF2D30"/>
    <w:multiLevelType w:val="hybridMultilevel"/>
    <w:tmpl w:val="69E00FAE"/>
    <w:lvl w:ilvl="0" w:tplc="04090001">
      <w:start w:val="1"/>
      <w:numFmt w:val="bullet"/>
      <w:lvlText w:val=""/>
      <w:lvlJc w:val="left"/>
      <w:pPr>
        <w:tabs>
          <w:tab w:val="num" w:pos="2880"/>
        </w:tabs>
        <w:ind w:left="2880" w:hanging="360"/>
      </w:pPr>
      <w:rPr>
        <w:rFonts w:ascii="Symbol" w:hAnsi="Symbol" w:hint="default"/>
      </w:rPr>
    </w:lvl>
    <w:lvl w:ilvl="1" w:tplc="0409000B">
      <w:start w:val="1"/>
      <w:numFmt w:val="bullet"/>
      <w:lvlText w:val=""/>
      <w:lvlJc w:val="left"/>
      <w:pPr>
        <w:tabs>
          <w:tab w:val="num" w:pos="3600"/>
        </w:tabs>
        <w:ind w:left="360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A906436"/>
    <w:multiLevelType w:val="hybridMultilevel"/>
    <w:tmpl w:val="79AEA7A6"/>
    <w:lvl w:ilvl="0" w:tplc="17EC2C9A">
      <w:start w:val="1"/>
      <w:numFmt w:val="decimal"/>
      <w:lvlText w:val="%1."/>
      <w:lvlJc w:val="left"/>
      <w:pPr>
        <w:ind w:left="360" w:hanging="360"/>
      </w:pPr>
      <w:rPr>
        <w:b w:val="0"/>
      </w:rPr>
    </w:lvl>
    <w:lvl w:ilvl="1" w:tplc="1009001B">
      <w:start w:val="1"/>
      <w:numFmt w:val="lowerRoman"/>
      <w:lvlText w:val="%2."/>
      <w:lvlJc w:val="righ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B0746C6"/>
    <w:multiLevelType w:val="hybridMultilevel"/>
    <w:tmpl w:val="D9CA9B1C"/>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0D61AB9"/>
    <w:multiLevelType w:val="multilevel"/>
    <w:tmpl w:val="D4F2F390"/>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1D628D"/>
    <w:multiLevelType w:val="hybridMultilevel"/>
    <w:tmpl w:val="EA3CA92C"/>
    <w:lvl w:ilvl="0" w:tplc="D6D067B2">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201068"/>
    <w:multiLevelType w:val="multilevel"/>
    <w:tmpl w:val="A8FAE860"/>
    <w:lvl w:ilvl="0">
      <w:start w:val="1"/>
      <w:numFmt w:val="decimal"/>
      <w:lvlText w:val="%1.0"/>
      <w:lvlJc w:val="left"/>
      <w:pPr>
        <w:ind w:left="360" w:hanging="360"/>
      </w:pPr>
      <w:rPr>
        <w:rFonts w:cs="Times New Roman" w:hint="default"/>
        <w:b/>
        <w:sz w:val="24"/>
        <w:szCs w:val="24"/>
      </w:rPr>
    </w:lvl>
    <w:lvl w:ilvl="1">
      <w:start w:val="1"/>
      <w:numFmt w:val="decimal"/>
      <w:lvlText w:val="3.%2"/>
      <w:lvlJc w:val="left"/>
      <w:pPr>
        <w:ind w:left="1080" w:hanging="360"/>
      </w:pPr>
      <w:rPr>
        <w:rFonts w:cs="Times New Roman" w:hint="default"/>
      </w:rPr>
    </w:lvl>
    <w:lvl w:ilvl="2">
      <w:start w:val="1"/>
      <w:numFmt w:val="decimal"/>
      <w:lvlText w:val="3.10.%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1D8A5B9D"/>
    <w:multiLevelType w:val="hybridMultilevel"/>
    <w:tmpl w:val="C50C0D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FBC26D8"/>
    <w:multiLevelType w:val="multilevel"/>
    <w:tmpl w:val="CF98A54A"/>
    <w:lvl w:ilvl="0">
      <w:start w:val="2"/>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8714B1"/>
    <w:multiLevelType w:val="multilevel"/>
    <w:tmpl w:val="9D2C4198"/>
    <w:lvl w:ilvl="0">
      <w:start w:val="5"/>
      <w:numFmt w:val="decimal"/>
      <w:lvlText w:val="%1"/>
      <w:lvlJc w:val="left"/>
      <w:pPr>
        <w:ind w:left="360" w:hanging="360"/>
      </w:pPr>
      <w:rPr>
        <w:rFonts w:cs="Times New Roman" w:hint="default"/>
      </w:rPr>
    </w:lvl>
    <w:lvl w:ilvl="1">
      <w:start w:val="1"/>
      <w:numFmt w:val="decimal"/>
      <w:lvlText w:val="6.%2"/>
      <w:lvlJc w:val="left"/>
      <w:pPr>
        <w:ind w:left="1080" w:hanging="360"/>
      </w:pPr>
      <w:rPr>
        <w:rFonts w:cs="Times New Roman"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15:restartNumberingAfterBreak="0">
    <w:nsid w:val="25AE5085"/>
    <w:multiLevelType w:val="hybridMultilevel"/>
    <w:tmpl w:val="958C7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D170F1E"/>
    <w:multiLevelType w:val="hybridMultilevel"/>
    <w:tmpl w:val="CDCEE928"/>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31374C33"/>
    <w:multiLevelType w:val="hybridMultilevel"/>
    <w:tmpl w:val="0A362CA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71A6FD7"/>
    <w:multiLevelType w:val="multilevel"/>
    <w:tmpl w:val="22A8D5C6"/>
    <w:lvl w:ilvl="0">
      <w:start w:val="1"/>
      <w:numFmt w:val="decimal"/>
      <w:lvlText w:val="6.0%1"/>
      <w:lvlJc w:val="left"/>
      <w:pPr>
        <w:tabs>
          <w:tab w:val="num" w:pos="720"/>
        </w:tabs>
        <w:ind w:left="720" w:hanging="720"/>
      </w:pPr>
      <w:rPr>
        <w:rFonts w:ascii="Arial" w:hAnsi="Arial" w:cs="Times New Roman" w:hint="default"/>
        <w:b/>
        <w:i w:val="0"/>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none"/>
      <w:lvlText w:val=""/>
      <w:lvlJc w:val="right"/>
      <w:pPr>
        <w:tabs>
          <w:tab w:val="num" w:pos="864"/>
        </w:tabs>
        <w:ind w:left="864" w:hanging="144"/>
      </w:pPr>
      <w:rPr>
        <w:rFonts w:cs="Times New Roman" w:hint="default"/>
      </w:rPr>
    </w:lvl>
    <w:lvl w:ilvl="4">
      <w:start w:val="1"/>
      <w:numFmt w:val="none"/>
      <w:lvlText w:val=""/>
      <w:lvlJc w:val="left"/>
      <w:pPr>
        <w:tabs>
          <w:tab w:val="num" w:pos="1008"/>
        </w:tabs>
        <w:ind w:left="1008" w:hanging="432"/>
      </w:pPr>
      <w:rPr>
        <w:rFonts w:cs="Times New Roman" w:hint="default"/>
      </w:rPr>
    </w:lvl>
    <w:lvl w:ilvl="5">
      <w:start w:val="1"/>
      <w:numFmt w:val="none"/>
      <w:lvlText w:val=""/>
      <w:lvlJc w:val="left"/>
      <w:pPr>
        <w:tabs>
          <w:tab w:val="num" w:pos="1152"/>
        </w:tabs>
        <w:ind w:left="1152" w:hanging="432"/>
      </w:pPr>
      <w:rPr>
        <w:rFonts w:cs="Times New Roman" w:hint="default"/>
      </w:rPr>
    </w:lvl>
    <w:lvl w:ilvl="6">
      <w:start w:val="1"/>
      <w:numFmt w:val="none"/>
      <w:lvlText w:val=""/>
      <w:lvlJc w:val="right"/>
      <w:pPr>
        <w:tabs>
          <w:tab w:val="num" w:pos="1296"/>
        </w:tabs>
        <w:ind w:left="1296" w:hanging="288"/>
      </w:pPr>
      <w:rPr>
        <w:rFonts w:cs="Times New Roman" w:hint="default"/>
      </w:rPr>
    </w:lvl>
    <w:lvl w:ilvl="7">
      <w:start w:val="1"/>
      <w:numFmt w:val="none"/>
      <w:lvlText w:val=""/>
      <w:lvlJc w:val="left"/>
      <w:pPr>
        <w:tabs>
          <w:tab w:val="num" w:pos="1440"/>
        </w:tabs>
        <w:ind w:left="1440" w:hanging="432"/>
      </w:pPr>
      <w:rPr>
        <w:rFonts w:cs="Times New Roman" w:hint="default"/>
      </w:rPr>
    </w:lvl>
    <w:lvl w:ilvl="8">
      <w:start w:val="1"/>
      <w:numFmt w:val="none"/>
      <w:lvlText w:val=""/>
      <w:lvlJc w:val="right"/>
      <w:pPr>
        <w:tabs>
          <w:tab w:val="num" w:pos="1584"/>
        </w:tabs>
        <w:ind w:left="1584" w:hanging="144"/>
      </w:pPr>
      <w:rPr>
        <w:rFonts w:cs="Times New Roman" w:hint="default"/>
      </w:rPr>
    </w:lvl>
  </w:abstractNum>
  <w:abstractNum w:abstractNumId="16" w15:restartNumberingAfterBreak="0">
    <w:nsid w:val="4D4C24D5"/>
    <w:multiLevelType w:val="multilevel"/>
    <w:tmpl w:val="5BC070BC"/>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564F4E"/>
    <w:multiLevelType w:val="multilevel"/>
    <w:tmpl w:val="7E888588"/>
    <w:lvl w:ilvl="0">
      <w:start w:val="3"/>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55E20483"/>
    <w:multiLevelType w:val="multilevel"/>
    <w:tmpl w:val="8C1C9736"/>
    <w:lvl w:ilvl="0">
      <w:start w:val="6"/>
      <w:numFmt w:val="decimal"/>
      <w:lvlText w:val="%1.0"/>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19" w15:restartNumberingAfterBreak="0">
    <w:nsid w:val="58A57DF1"/>
    <w:multiLevelType w:val="multilevel"/>
    <w:tmpl w:val="6A607334"/>
    <w:lvl w:ilvl="0">
      <w:start w:val="1"/>
      <w:numFmt w:val="decimal"/>
      <w:lvlText w:val="%1"/>
      <w:lvlJc w:val="left"/>
      <w:pPr>
        <w:ind w:left="360" w:hanging="360"/>
      </w:pPr>
      <w:rPr>
        <w:rFonts w:cs="Times New Roman" w:hint="default"/>
        <w:b/>
      </w:rPr>
    </w:lvl>
    <w:lvl w:ilvl="1">
      <w:start w:val="4"/>
      <w:numFmt w:val="decimal"/>
      <w:lvlText w:val="%1.%2"/>
      <w:lvlJc w:val="left"/>
      <w:pPr>
        <w:ind w:left="1350" w:hanging="360"/>
      </w:pPr>
      <w:rPr>
        <w:rFonts w:cs="Times New Roman" w:hint="default"/>
        <w:b w:val="0"/>
        <w:i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20" w15:restartNumberingAfterBreak="0">
    <w:nsid w:val="5FE17ADE"/>
    <w:multiLevelType w:val="hybridMultilevel"/>
    <w:tmpl w:val="20360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1D5769A"/>
    <w:multiLevelType w:val="multilevel"/>
    <w:tmpl w:val="7EE6AC60"/>
    <w:lvl w:ilvl="0">
      <w:start w:val="1"/>
      <w:numFmt w:val="decimal"/>
      <w:lvlText w:val="%1.0"/>
      <w:lvlJc w:val="left"/>
      <w:pPr>
        <w:ind w:left="360" w:hanging="360"/>
      </w:pPr>
      <w:rPr>
        <w:rFonts w:cs="Times New Roman" w:hint="default"/>
        <w:b/>
        <w:sz w:val="24"/>
        <w:szCs w:val="24"/>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15:restartNumberingAfterBreak="0">
    <w:nsid w:val="629C381B"/>
    <w:multiLevelType w:val="hybridMultilevel"/>
    <w:tmpl w:val="2E1E9FCC"/>
    <w:lvl w:ilvl="0" w:tplc="A8846B24">
      <w:start w:val="1"/>
      <w:numFmt w:val="decimal"/>
      <w:lvlText w:val="4.%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3"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E81DC9"/>
    <w:multiLevelType w:val="hybridMultilevel"/>
    <w:tmpl w:val="A85A3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8251EB1"/>
    <w:multiLevelType w:val="hybridMultilevel"/>
    <w:tmpl w:val="357AE606"/>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6" w15:restartNumberingAfterBreak="0">
    <w:nsid w:val="699E164C"/>
    <w:multiLevelType w:val="multilevel"/>
    <w:tmpl w:val="422A977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04F57C0"/>
    <w:multiLevelType w:val="hybridMultilevel"/>
    <w:tmpl w:val="11728638"/>
    <w:lvl w:ilvl="0" w:tplc="2270AC42">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8" w15:restartNumberingAfterBreak="0">
    <w:nsid w:val="73A00F84"/>
    <w:multiLevelType w:val="hybridMultilevel"/>
    <w:tmpl w:val="FAD8D01A"/>
    <w:lvl w:ilvl="0" w:tplc="17EC2C9A">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75342F77"/>
    <w:multiLevelType w:val="hybridMultilevel"/>
    <w:tmpl w:val="C10EC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6DD6067"/>
    <w:multiLevelType w:val="multilevel"/>
    <w:tmpl w:val="AADAFB60"/>
    <w:lvl w:ilvl="0">
      <w:start w:val="4"/>
      <w:numFmt w:val="decimal"/>
      <w:lvlText w:val="%1"/>
      <w:lvlJc w:val="left"/>
      <w:pPr>
        <w:ind w:left="360" w:hanging="360"/>
      </w:pPr>
      <w:rPr>
        <w:rFonts w:cs="Times New Roman" w:hint="default"/>
        <w:b w:val="0"/>
      </w:rPr>
    </w:lvl>
    <w:lvl w:ilvl="1">
      <w:start w:val="1"/>
      <w:numFmt w:val="decimal"/>
      <w:lvlText w:val="5.%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31" w15:restartNumberingAfterBreak="0">
    <w:nsid w:val="79684F92"/>
    <w:multiLevelType w:val="hybridMultilevel"/>
    <w:tmpl w:val="D5AA60A4"/>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A8C178B"/>
    <w:multiLevelType w:val="hybridMultilevel"/>
    <w:tmpl w:val="BA46A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26"/>
  </w:num>
  <w:num w:numId="3">
    <w:abstractNumId w:val="31"/>
  </w:num>
  <w:num w:numId="4">
    <w:abstractNumId w:val="11"/>
  </w:num>
  <w:num w:numId="5">
    <w:abstractNumId w:val="8"/>
  </w:num>
  <w:num w:numId="6">
    <w:abstractNumId w:val="20"/>
  </w:num>
  <w:num w:numId="7">
    <w:abstractNumId w:val="13"/>
  </w:num>
  <w:num w:numId="8">
    <w:abstractNumId w:val="27"/>
  </w:num>
  <w:num w:numId="9">
    <w:abstractNumId w:val="25"/>
  </w:num>
  <w:num w:numId="10">
    <w:abstractNumId w:val="17"/>
  </w:num>
  <w:num w:numId="11">
    <w:abstractNumId w:val="30"/>
  </w:num>
  <w:num w:numId="12">
    <w:abstractNumId w:val="10"/>
  </w:num>
  <w:num w:numId="13">
    <w:abstractNumId w:val="15"/>
  </w:num>
  <w:num w:numId="14">
    <w:abstractNumId w:val="21"/>
  </w:num>
  <w:num w:numId="15">
    <w:abstractNumId w:val="19"/>
  </w:num>
  <w:num w:numId="16">
    <w:abstractNumId w:val="2"/>
  </w:num>
  <w:num w:numId="17">
    <w:abstractNumId w:val="1"/>
  </w:num>
  <w:num w:numId="18">
    <w:abstractNumId w:val="7"/>
  </w:num>
  <w:num w:numId="19">
    <w:abstractNumId w:val="22"/>
  </w:num>
  <w:num w:numId="20">
    <w:abstractNumId w:val="29"/>
  </w:num>
  <w:num w:numId="21">
    <w:abstractNumId w:val="18"/>
  </w:num>
  <w:num w:numId="22">
    <w:abstractNumId w:val="33"/>
  </w:num>
  <w:num w:numId="23">
    <w:abstractNumId w:val="9"/>
  </w:num>
  <w:num w:numId="24">
    <w:abstractNumId w:val="16"/>
  </w:num>
  <w:num w:numId="25">
    <w:abstractNumId w:val="32"/>
  </w:num>
  <w:num w:numId="26">
    <w:abstractNumId w:val="5"/>
  </w:num>
  <w:num w:numId="27">
    <w:abstractNumId w:val="0"/>
  </w:num>
  <w:num w:numId="28">
    <w:abstractNumId w:val="23"/>
  </w:num>
  <w:num w:numId="29">
    <w:abstractNumId w:val="12"/>
  </w:num>
  <w:num w:numId="30">
    <w:abstractNumId w:val="6"/>
  </w:num>
  <w:num w:numId="31">
    <w:abstractNumId w:val="28"/>
  </w:num>
  <w:num w:numId="32">
    <w:abstractNumId w:val="3"/>
  </w:num>
  <w:num w:numId="33">
    <w:abstractNumId w:val="24"/>
  </w:num>
  <w:num w:numId="3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65EA2"/>
    <w:rsid w:val="000E434F"/>
    <w:rsid w:val="000F2CCD"/>
    <w:rsid w:val="00170791"/>
    <w:rsid w:val="001A28BD"/>
    <w:rsid w:val="001D0730"/>
    <w:rsid w:val="00216011"/>
    <w:rsid w:val="00226B10"/>
    <w:rsid w:val="00242873"/>
    <w:rsid w:val="00263C15"/>
    <w:rsid w:val="002A4BEF"/>
    <w:rsid w:val="002C3FD3"/>
    <w:rsid w:val="002D5163"/>
    <w:rsid w:val="00330DB8"/>
    <w:rsid w:val="00331815"/>
    <w:rsid w:val="00360EC6"/>
    <w:rsid w:val="003B3C67"/>
    <w:rsid w:val="003D329C"/>
    <w:rsid w:val="003E69C2"/>
    <w:rsid w:val="00412DDF"/>
    <w:rsid w:val="004168AA"/>
    <w:rsid w:val="00425202"/>
    <w:rsid w:val="0046540A"/>
    <w:rsid w:val="00467795"/>
    <w:rsid w:val="004A377A"/>
    <w:rsid w:val="004B297F"/>
    <w:rsid w:val="004B540D"/>
    <w:rsid w:val="00573CB8"/>
    <w:rsid w:val="005A545B"/>
    <w:rsid w:val="00642362"/>
    <w:rsid w:val="006470BE"/>
    <w:rsid w:val="006916CF"/>
    <w:rsid w:val="006C50B4"/>
    <w:rsid w:val="006C6658"/>
    <w:rsid w:val="006E31BC"/>
    <w:rsid w:val="007A4E37"/>
    <w:rsid w:val="007F67E1"/>
    <w:rsid w:val="0080161E"/>
    <w:rsid w:val="0080636B"/>
    <w:rsid w:val="00833EB6"/>
    <w:rsid w:val="008B5228"/>
    <w:rsid w:val="008C3425"/>
    <w:rsid w:val="008E5E29"/>
    <w:rsid w:val="0090099E"/>
    <w:rsid w:val="009D3584"/>
    <w:rsid w:val="009E7C86"/>
    <w:rsid w:val="00A07FCF"/>
    <w:rsid w:val="00A136DA"/>
    <w:rsid w:val="00A370D0"/>
    <w:rsid w:val="00A70681"/>
    <w:rsid w:val="00A86E88"/>
    <w:rsid w:val="00AC4A09"/>
    <w:rsid w:val="00B12CB8"/>
    <w:rsid w:val="00B5071F"/>
    <w:rsid w:val="00B614C0"/>
    <w:rsid w:val="00BD386E"/>
    <w:rsid w:val="00C06DED"/>
    <w:rsid w:val="00C32860"/>
    <w:rsid w:val="00C74F14"/>
    <w:rsid w:val="00C940F6"/>
    <w:rsid w:val="00D0355D"/>
    <w:rsid w:val="00D171CE"/>
    <w:rsid w:val="00D21202"/>
    <w:rsid w:val="00D744ED"/>
    <w:rsid w:val="00DC04AB"/>
    <w:rsid w:val="00DC2655"/>
    <w:rsid w:val="00DC72BB"/>
    <w:rsid w:val="00E079A5"/>
    <w:rsid w:val="00E23464"/>
    <w:rsid w:val="00E868B7"/>
    <w:rsid w:val="00EC2875"/>
    <w:rsid w:val="00EC2B18"/>
    <w:rsid w:val="00EF7404"/>
    <w:rsid w:val="00F334B5"/>
    <w:rsid w:val="00F6064D"/>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36B"/>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D5163"/>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D5163"/>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styleId="NoSpacing">
    <w:name w:val="No Spacing"/>
    <w:uiPriority w:val="1"/>
    <w:qFormat/>
    <w:rsid w:val="006916CF"/>
    <w:pPr>
      <w:spacing w:after="0" w:line="240" w:lineRule="auto"/>
    </w:pPr>
    <w:rPr>
      <w:rFonts w:ascii="Arial" w:eastAsia="Times New Roman" w:hAnsi="Arial" w:cs="Times New Roman"/>
      <w:sz w:val="24"/>
      <w:szCs w:val="24"/>
      <w:lang w:val="en-US"/>
    </w:rPr>
  </w:style>
  <w:style w:type="table" w:customStyle="1" w:styleId="TableGrid1">
    <w:name w:val="Table Grid1"/>
    <w:basedOn w:val="TableNormal"/>
    <w:next w:val="TableGrid"/>
    <w:uiPriority w:val="59"/>
    <w:rsid w:val="003D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53</COKL_x0020_Division>
    <COKL_x0020_Department xmlns="e63dacc3-515c-4cce-91e5-d3c507c5e648">11</COKL_x0020_Department>
    <Policy_x0020_Number xmlns="e63dacc3-515c-4cce-91e5-d3c507c5e648">CP2026-029</Policy_x0020_Number>
    <Related_x0020_Procedure xmlns="e63dacc3-515c-4cce-91e5-d3c507c5e648" xsi:nil="true"/>
    <Approval_x0020_Date xmlns="e63dacc3-515c-4cce-91e5-d3c507c5e648">2019-11-19T05:00:00+00:00</Approval_x0020_Date>
    <Related_x0020_Policy xmlns="e63dacc3-515c-4cce-91e5-d3c507c5e648" xsi:nil="true"/>
    <Policy_x0020_Name xmlns="e63dacc3-515c-4cce-91e5-d3c507c5e648">Affordable Housing Incentives</Policy_x0020_Name>
    <Policy_x0020_Category xmlns="e63dacc3-515c-4cce-91e5-d3c507c5e648">Section L - Social Services</Policy_x0020_Category>
    <Superseded_x0020_Date xmlns="b44db830-4673-485e-a6b6-759026e9ec8d" xsi:nil="true"/>
    <Effective_x0020_Date xmlns="e63dacc3-515c-4cce-91e5-d3c507c5e6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A386B-2E1F-41A5-A116-13C235F3FC54}">
  <ds:schemaRefs>
    <ds:schemaRef ds:uri="e63dacc3-515c-4cce-91e5-d3c507c5e648"/>
    <ds:schemaRef ds:uri="http://purl.org/dc/term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b44db830-4673-485e-a6b6-759026e9ec8d"/>
  </ds:schemaRefs>
</ds:datastoreItem>
</file>

<file path=customXml/itemProps2.xml><?xml version="1.0" encoding="utf-8"?>
<ds:datastoreItem xmlns:ds="http://schemas.openxmlformats.org/officeDocument/2006/customXml" ds:itemID="{D413EB61-3776-4B83-BD0C-86090D0E4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D2F39-80A0-4C2D-86B4-5DD29C1A3613}">
  <ds:schemaRefs>
    <ds:schemaRef ds:uri="Microsoft.SharePoint.Taxonomy.ContentTypeSync"/>
  </ds:schemaRefs>
</ds:datastoreItem>
</file>

<file path=customXml/itemProps4.xml><?xml version="1.0" encoding="utf-8"?>
<ds:datastoreItem xmlns:ds="http://schemas.openxmlformats.org/officeDocument/2006/customXml" ds:itemID="{D247DE48-719E-493E-8574-1DF4541978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5</cp:revision>
  <dcterms:created xsi:type="dcterms:W3CDTF">2021-04-06T15:24:00Z</dcterms:created>
  <dcterms:modified xsi:type="dcterms:W3CDTF">2026-04-29T16:46:00Z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4c9a7c15-c9fc-4bc1-b9da-4bfb2f02c729</vt:lpwstr>
  </property>
  <property fmtid="{D5CDD505-2E9C-101B-9397-08002B2CF9AE}" pid="4" name="COKL Subject">
    <vt:lpwstr>Purchasing Division SOP</vt:lpwstr>
  </property>
  <property fmtid="{D5CDD505-2E9C-101B-9397-08002B2CF9AE}" pid="5" name="EffectiveDate">
    <vt:lpwstr>2011-10-05T04:00:00+00:00</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COKL Report Status">
    <vt:lpwstr>Development</vt:lpwstr>
  </property>
  <property fmtid="{D5CDD505-2E9C-101B-9397-08002B2CF9AE}" pid="12" name="Form Number">
    <vt:lpwstr>Template</vt:lpwstr>
  </property>
  <property fmtid="{D5CDD505-2E9C-101B-9397-08002B2CF9AE}" pid="13" name="RecordsClassification">
    <vt:lpwstr>1310</vt:lpwstr>
  </property>
  <property fmtid="{D5CDD505-2E9C-101B-9397-08002B2CF9AE}" pid="14" name="Submitted Date">
    <vt:filetime>2016-05-03T14:08:14Z</vt:filetime>
  </property>
  <property fmtid="{D5CDD505-2E9C-101B-9397-08002B2CF9AE}" pid="15" name="TemplateUrl">
    <vt:lpwstr/>
  </property>
  <property fmtid="{D5CDD505-2E9C-101B-9397-08002B2CF9AE}" pid="16" name="COKLDivision">
    <vt:lpwstr>110</vt:lpwstr>
  </property>
  <property fmtid="{D5CDD505-2E9C-101B-9397-08002B2CF9AE}" pid="17" name="Form Title">
    <vt:lpwstr>Council Policy Template</vt:lpwstr>
  </property>
  <property fmtid="{D5CDD505-2E9C-101B-9397-08002B2CF9AE}" pid="18" name="ClosingDate">
    <vt:filetime>2011-10-05T14:28:23Z</vt:filetime>
  </property>
  <property fmtid="{D5CDD505-2E9C-101B-9397-08002B2CF9AE}" pid="19" name="FormTitle">
    <vt:lpwstr>Purchasing Standard Operating Procedure</vt:lpwstr>
  </property>
  <property fmtid="{D5CDD505-2E9C-101B-9397-08002B2CF9AE}" pid="20" name="_ExtendedDescription">
    <vt:lpwstr/>
  </property>
  <property fmtid="{D5CDD505-2E9C-101B-9397-08002B2CF9AE}" pid="21" name="Policy Sub Category">
    <vt:lpwstr>L.06 - Policies/Studies</vt:lpwstr>
  </property>
  <property fmtid="{D5CDD505-2E9C-101B-9397-08002B2CF9AE}" pid="22" name="Policy Type">
    <vt:lpwstr>Corporate</vt:lpwstr>
  </property>
  <property fmtid="{D5CDD505-2E9C-101B-9397-08002B2CF9AE}" pid="23" name="Effective Date">
    <vt:filetime>2019-11-19T05:00:00Z</vt:filetime>
  </property>
</Properties>
</file>