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  <w:tblCaption w:val="Table"/>
        <w:tblDescription w:val="Table with two colums.  Table reads left to right."/>
      </w:tblPr>
      <w:tblGrid>
        <w:gridCol w:w="4675"/>
        <w:gridCol w:w="4675"/>
      </w:tblGrid>
      <w:tr w:rsidR="00014FB2" w:rsidRPr="00014FB2" w:rsidTr="003E1C6D">
        <w:trPr>
          <w:trHeight w:val="521"/>
        </w:trPr>
        <w:tc>
          <w:tcPr>
            <w:tcW w:w="4675" w:type="dxa"/>
            <w:vAlign w:val="center"/>
          </w:tcPr>
          <w:p w:rsidR="00014FB2" w:rsidRPr="00014FB2" w:rsidRDefault="00014FB2" w:rsidP="00014F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4FB2">
              <w:rPr>
                <w:rFonts w:ascii="Arial" w:hAnsi="Arial" w:cs="Arial"/>
                <w:sz w:val="24"/>
                <w:szCs w:val="24"/>
                <w:lang w:val="en-US"/>
              </w:rPr>
              <w:t>Management Directive No.:</w:t>
            </w:r>
          </w:p>
        </w:tc>
        <w:tc>
          <w:tcPr>
            <w:tcW w:w="4675" w:type="dxa"/>
            <w:vAlign w:val="center"/>
          </w:tcPr>
          <w:p w:rsidR="00014FB2" w:rsidRPr="00FD70F8" w:rsidRDefault="00FD70F8" w:rsidP="002639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MD2018-0</w:t>
            </w:r>
            <w:r w:rsidR="00263989">
              <w:rPr>
                <w:rFonts w:ascii="Arial" w:hAnsi="Arial" w:cs="Arial"/>
                <w:sz w:val="24"/>
                <w:szCs w:val="24"/>
                <w:lang w:val="en-US"/>
              </w:rPr>
              <w:t>05</w:t>
            </w:r>
          </w:p>
        </w:tc>
      </w:tr>
      <w:tr w:rsidR="00014FB2" w:rsidRPr="00014FB2" w:rsidTr="003E1C6D">
        <w:trPr>
          <w:trHeight w:val="539"/>
        </w:trPr>
        <w:tc>
          <w:tcPr>
            <w:tcW w:w="4675" w:type="dxa"/>
            <w:vAlign w:val="center"/>
          </w:tcPr>
          <w:p w:rsidR="00014FB2" w:rsidRPr="00014FB2" w:rsidRDefault="00014FB2" w:rsidP="00014FB2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14FB2">
              <w:rPr>
                <w:rFonts w:ascii="Arial" w:hAnsi="Arial" w:cs="Arial"/>
                <w:sz w:val="24"/>
                <w:szCs w:val="24"/>
                <w:lang w:val="en-US"/>
              </w:rPr>
              <w:t>Management Directive Name:</w:t>
            </w:r>
          </w:p>
        </w:tc>
        <w:tc>
          <w:tcPr>
            <w:tcW w:w="4675" w:type="dxa"/>
            <w:vAlign w:val="center"/>
          </w:tcPr>
          <w:p w:rsidR="00014FB2" w:rsidRPr="00385720" w:rsidRDefault="00263989" w:rsidP="00014F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bookmarkStart w:id="0" w:name="_GoBack"/>
            <w:r>
              <w:rPr>
                <w:rFonts w:ascii="Arial" w:hAnsi="Arial" w:cs="Arial"/>
                <w:sz w:val="24"/>
                <w:szCs w:val="24"/>
                <w:lang w:val="en-US"/>
              </w:rPr>
              <w:t>Community Partnership and Development Fund Program Management Directive</w:t>
            </w:r>
            <w:bookmarkEnd w:id="0"/>
          </w:p>
        </w:tc>
      </w:tr>
      <w:tr w:rsidR="00014FB2" w:rsidRPr="00014FB2" w:rsidTr="003E1C6D">
        <w:tc>
          <w:tcPr>
            <w:tcW w:w="4675" w:type="dxa"/>
            <w:vAlign w:val="center"/>
          </w:tcPr>
          <w:p w:rsidR="00014FB2" w:rsidRPr="00014FB2" w:rsidRDefault="00014FB2" w:rsidP="00014FB2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14FB2">
              <w:rPr>
                <w:rFonts w:ascii="Arial" w:hAnsi="Arial" w:cs="Arial"/>
                <w:sz w:val="24"/>
                <w:szCs w:val="24"/>
                <w:lang w:val="en-US"/>
              </w:rPr>
              <w:t>Date Approved by CAO or Designated Person:</w:t>
            </w:r>
          </w:p>
        </w:tc>
        <w:tc>
          <w:tcPr>
            <w:tcW w:w="4675" w:type="dxa"/>
            <w:vAlign w:val="center"/>
          </w:tcPr>
          <w:p w:rsidR="00014FB2" w:rsidRPr="007221DF" w:rsidRDefault="007221DF" w:rsidP="00014F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April 24, 2018</w:t>
            </w:r>
          </w:p>
        </w:tc>
      </w:tr>
      <w:tr w:rsidR="00014FB2" w:rsidRPr="00014FB2" w:rsidTr="003E1C6D">
        <w:tc>
          <w:tcPr>
            <w:tcW w:w="4675" w:type="dxa"/>
            <w:vAlign w:val="center"/>
          </w:tcPr>
          <w:p w:rsidR="00014FB2" w:rsidRPr="00014FB2" w:rsidRDefault="00014FB2" w:rsidP="00014FB2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14FB2">
              <w:rPr>
                <w:rFonts w:ascii="Arial" w:hAnsi="Arial" w:cs="Arial"/>
                <w:sz w:val="24"/>
                <w:szCs w:val="24"/>
                <w:lang w:val="en-US"/>
              </w:rPr>
              <w:t>Date revision approved by  CAO or Designated Person:</w:t>
            </w:r>
          </w:p>
        </w:tc>
        <w:tc>
          <w:tcPr>
            <w:tcW w:w="4675" w:type="dxa"/>
            <w:vAlign w:val="center"/>
          </w:tcPr>
          <w:p w:rsidR="00014FB2" w:rsidRPr="00866D40" w:rsidRDefault="00263989" w:rsidP="00AA5C57">
            <w:pPr>
              <w:rPr>
                <w:rFonts w:ascii="Arial" w:hAnsi="Arial" w:cs="Arial"/>
                <w:b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August 14, 2025</w:t>
            </w:r>
            <w:r w:rsidR="00FF08E2" w:rsidRPr="00A162E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014FB2" w:rsidRPr="00014FB2" w:rsidTr="003E1C6D">
        <w:tc>
          <w:tcPr>
            <w:tcW w:w="4675" w:type="dxa"/>
            <w:vAlign w:val="center"/>
          </w:tcPr>
          <w:p w:rsidR="00014FB2" w:rsidRPr="00014FB2" w:rsidRDefault="00014FB2" w:rsidP="00014FB2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14FB2">
              <w:rPr>
                <w:rFonts w:ascii="Arial" w:hAnsi="Arial" w:cs="Arial"/>
                <w:sz w:val="24"/>
                <w:szCs w:val="24"/>
                <w:lang w:val="en-US"/>
              </w:rPr>
              <w:t>Related SOP, Management Directive, Council Policy, Forms</w:t>
            </w:r>
          </w:p>
        </w:tc>
        <w:tc>
          <w:tcPr>
            <w:tcW w:w="4675" w:type="dxa"/>
            <w:vAlign w:val="center"/>
          </w:tcPr>
          <w:p w:rsidR="00014FB2" w:rsidRPr="00FD70F8" w:rsidRDefault="00FD70F8" w:rsidP="002639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Replaces </w:t>
            </w:r>
            <w:r w:rsidR="00263989">
              <w:rPr>
                <w:rFonts w:ascii="Arial" w:hAnsi="Arial" w:cs="Arial"/>
                <w:sz w:val="24"/>
                <w:szCs w:val="24"/>
                <w:lang w:val="en-US"/>
              </w:rPr>
              <w:t>CP2016-008</w:t>
            </w:r>
          </w:p>
        </w:tc>
      </w:tr>
    </w:tbl>
    <w:p w:rsidR="003E1C6D" w:rsidRDefault="003E1C6D" w:rsidP="003E1C6D">
      <w:pPr>
        <w:keepNext/>
        <w:keepLines/>
        <w:spacing w:before="240" w:after="240" w:line="240" w:lineRule="auto"/>
        <w:outlineLvl w:val="0"/>
        <w:rPr>
          <w:rFonts w:ascii="Arial" w:eastAsiaTheme="majorEastAsia" w:hAnsi="Arial" w:cstheme="majorBidi"/>
          <w:b/>
          <w:bCs/>
          <w:sz w:val="28"/>
          <w:szCs w:val="28"/>
          <w:lang w:val="en-US"/>
        </w:rPr>
      </w:pPr>
      <w:r w:rsidRPr="00014FB2">
        <w:rPr>
          <w:rFonts w:ascii="Arial" w:eastAsiaTheme="majorEastAsia" w:hAnsi="Arial" w:cstheme="majorBidi"/>
          <w:b/>
          <w:bCs/>
          <w:sz w:val="28"/>
          <w:szCs w:val="28"/>
          <w:lang w:val="en-US"/>
        </w:rPr>
        <w:t>Directive Statement and Rationale:</w:t>
      </w:r>
    </w:p>
    <w:p w:rsidR="00B22857" w:rsidRPr="00B22857" w:rsidRDefault="00B22857" w:rsidP="00B2285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 w:rsidRPr="00B22857">
        <w:rPr>
          <w:rFonts w:ascii="Arial" w:eastAsiaTheme="majorEastAsia" w:hAnsi="Arial" w:cstheme="majorBidi"/>
          <w:bCs/>
          <w:sz w:val="24"/>
          <w:szCs w:val="24"/>
          <w:lang w:val="en-US"/>
        </w:rPr>
        <w:t>The Corporation of the City of Kawartha Lakes acknowledges the efforts of volunteer</w:t>
      </w:r>
    </w:p>
    <w:p w:rsidR="00B22857" w:rsidRDefault="00B22857" w:rsidP="00B2285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 w:rsidRPr="00B22857">
        <w:rPr>
          <w:rFonts w:ascii="Arial" w:eastAsiaTheme="majorEastAsia" w:hAnsi="Arial" w:cstheme="majorBidi"/>
          <w:bCs/>
          <w:sz w:val="24"/>
          <w:szCs w:val="24"/>
          <w:lang w:val="en-US"/>
        </w:rPr>
        <w:t>organizations located within the City.</w:t>
      </w:r>
      <w:r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 </w:t>
      </w:r>
    </w:p>
    <w:p w:rsidR="00B22857" w:rsidRDefault="00B22857" w:rsidP="00B2285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</w:p>
    <w:p w:rsidR="00B22857" w:rsidRDefault="00B22857" w:rsidP="00B2285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 w:rsidRPr="00B22857">
        <w:rPr>
          <w:rFonts w:ascii="Arial" w:eastAsiaTheme="majorEastAsia" w:hAnsi="Arial" w:cstheme="majorBidi"/>
          <w:bCs/>
          <w:sz w:val="24"/>
          <w:szCs w:val="24"/>
          <w:lang w:val="en-US"/>
        </w:rPr>
        <w:t>The City has the opportunity to provide an avenue to create partnerships with these</w:t>
      </w:r>
      <w:r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Pr="00B22857">
        <w:rPr>
          <w:rFonts w:ascii="Arial" w:eastAsiaTheme="majorEastAsia" w:hAnsi="Arial" w:cstheme="majorBidi"/>
          <w:bCs/>
          <w:sz w:val="24"/>
          <w:szCs w:val="24"/>
          <w:lang w:val="en-US"/>
        </w:rPr>
        <w:t>volunteer organizations to provide for the betterment of the City.</w:t>
      </w:r>
    </w:p>
    <w:p w:rsidR="00B22857" w:rsidRPr="00B22857" w:rsidRDefault="00B22857" w:rsidP="00B2285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</w:p>
    <w:p w:rsidR="00B22857" w:rsidRPr="00B22857" w:rsidRDefault="00B22857" w:rsidP="00B2285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 w:rsidRPr="00B22857">
        <w:rPr>
          <w:rFonts w:ascii="Arial" w:eastAsiaTheme="majorEastAsia" w:hAnsi="Arial" w:cstheme="majorBidi"/>
          <w:bCs/>
          <w:sz w:val="24"/>
          <w:szCs w:val="24"/>
          <w:lang w:val="en-US"/>
        </w:rPr>
        <w:t>The City wishes to support volunteer organizations yet not have such organizations</w:t>
      </w:r>
    </w:p>
    <w:p w:rsidR="00B22857" w:rsidRDefault="00B22857" w:rsidP="00B2285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 w:rsidRPr="00B22857">
        <w:rPr>
          <w:rFonts w:ascii="Arial" w:eastAsiaTheme="majorEastAsia" w:hAnsi="Arial" w:cstheme="majorBidi"/>
          <w:bCs/>
          <w:sz w:val="24"/>
          <w:szCs w:val="24"/>
          <w:lang w:val="en-US"/>
        </w:rPr>
        <w:t>become reliant on such supports thereby potentially eroding the strength and</w:t>
      </w:r>
      <w:r w:rsidR="00AA5EBC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Pr="00B22857">
        <w:rPr>
          <w:rFonts w:ascii="Arial" w:eastAsiaTheme="majorEastAsia" w:hAnsi="Arial" w:cstheme="majorBidi"/>
          <w:bCs/>
          <w:sz w:val="24"/>
          <w:szCs w:val="24"/>
          <w:lang w:val="en-US"/>
        </w:rPr>
        <w:t>independence of such organizations.</w:t>
      </w:r>
    </w:p>
    <w:p w:rsidR="00B22857" w:rsidRPr="00B22857" w:rsidRDefault="00B22857" w:rsidP="00B2285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</w:p>
    <w:p w:rsidR="00B22857" w:rsidRPr="00B22857" w:rsidRDefault="00B22857" w:rsidP="00B2285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 w:rsidRPr="00B22857">
        <w:rPr>
          <w:rFonts w:ascii="Arial" w:eastAsiaTheme="majorEastAsia" w:hAnsi="Arial" w:cstheme="majorBidi"/>
          <w:bCs/>
          <w:sz w:val="24"/>
          <w:szCs w:val="24"/>
          <w:lang w:val="en-US"/>
        </w:rPr>
        <w:t>The City wishes to provide financial assistance and support to these community</w:t>
      </w:r>
    </w:p>
    <w:p w:rsidR="00B22857" w:rsidRPr="00B22857" w:rsidRDefault="00B22857" w:rsidP="00B2285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 w:rsidRPr="00B22857">
        <w:rPr>
          <w:rFonts w:ascii="Arial" w:eastAsiaTheme="majorEastAsia" w:hAnsi="Arial" w:cstheme="majorBidi"/>
          <w:bCs/>
          <w:sz w:val="24"/>
          <w:szCs w:val="24"/>
          <w:lang w:val="en-US"/>
        </w:rPr>
        <w:t>organizations and associations in recognition of these groups as a valuable resource in</w:t>
      </w:r>
    </w:p>
    <w:p w:rsidR="00B22857" w:rsidRDefault="00B22857" w:rsidP="00B2285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 w:rsidRPr="00B22857">
        <w:rPr>
          <w:rFonts w:ascii="Arial" w:eastAsiaTheme="majorEastAsia" w:hAnsi="Arial" w:cstheme="majorBidi"/>
          <w:bCs/>
          <w:sz w:val="24"/>
          <w:szCs w:val="24"/>
          <w:lang w:val="en-US"/>
        </w:rPr>
        <w:t>helping the municipality provide a strong community focus.</w:t>
      </w:r>
    </w:p>
    <w:p w:rsidR="00B22857" w:rsidRPr="00B22857" w:rsidRDefault="00B22857" w:rsidP="00B2285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</w:p>
    <w:p w:rsidR="00B22857" w:rsidRPr="00B22857" w:rsidRDefault="00B22857" w:rsidP="00B2285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 w:rsidRPr="00B22857">
        <w:rPr>
          <w:rFonts w:ascii="Arial" w:eastAsiaTheme="majorEastAsia" w:hAnsi="Arial" w:cstheme="majorBidi"/>
          <w:bCs/>
          <w:sz w:val="24"/>
          <w:szCs w:val="24"/>
          <w:lang w:val="en-US"/>
        </w:rPr>
        <w:t>The Municipal Act, Section 107 (1), General power to make grants, acknowledges</w:t>
      </w:r>
    </w:p>
    <w:p w:rsidR="00B22857" w:rsidRPr="00B22857" w:rsidRDefault="00B22857" w:rsidP="00B2285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 w:rsidRPr="00B22857">
        <w:rPr>
          <w:rFonts w:ascii="Arial" w:eastAsiaTheme="majorEastAsia" w:hAnsi="Arial" w:cstheme="majorBidi"/>
          <w:bCs/>
          <w:sz w:val="24"/>
          <w:szCs w:val="24"/>
          <w:lang w:val="en-US"/>
        </w:rPr>
        <w:t>Council’s authority to provide financial assistance through the following statement,</w:t>
      </w:r>
      <w:r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</w:p>
    <w:p w:rsidR="00B22857" w:rsidRPr="00B22857" w:rsidRDefault="00B22857" w:rsidP="00B2285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 w:rsidRPr="00B22857">
        <w:rPr>
          <w:rFonts w:ascii="Arial" w:eastAsiaTheme="majorEastAsia" w:hAnsi="Arial" w:cstheme="majorBidi"/>
          <w:bCs/>
          <w:sz w:val="24"/>
          <w:szCs w:val="24"/>
          <w:lang w:val="en-US"/>
        </w:rPr>
        <w:t>Despite any provision of this or any other Act relating to the giving of grants or aid by a</w:t>
      </w:r>
    </w:p>
    <w:p w:rsidR="00B22857" w:rsidRPr="00B22857" w:rsidRDefault="00B22857" w:rsidP="00B2285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 w:rsidRPr="00B22857">
        <w:rPr>
          <w:rFonts w:ascii="Arial" w:eastAsiaTheme="majorEastAsia" w:hAnsi="Arial" w:cstheme="majorBidi"/>
          <w:bCs/>
          <w:sz w:val="24"/>
          <w:szCs w:val="24"/>
          <w:lang w:val="en-US"/>
        </w:rPr>
        <w:t>municipality, subject to section 106, a municipality may make grants, on such terms as</w:t>
      </w:r>
    </w:p>
    <w:p w:rsidR="00B22857" w:rsidRPr="00B22857" w:rsidRDefault="00B22857" w:rsidP="00B2285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 w:rsidRPr="00B22857">
        <w:rPr>
          <w:rFonts w:ascii="Arial" w:eastAsiaTheme="majorEastAsia" w:hAnsi="Arial" w:cstheme="majorBidi"/>
          <w:bCs/>
          <w:sz w:val="24"/>
          <w:szCs w:val="24"/>
          <w:lang w:val="en-US"/>
        </w:rPr>
        <w:t>to security and otherwise as the council considers appropriate, to any person, group or</w:t>
      </w:r>
    </w:p>
    <w:p w:rsidR="00B22857" w:rsidRPr="00B22857" w:rsidRDefault="00B22857" w:rsidP="00B2285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 w:rsidRPr="00B22857">
        <w:rPr>
          <w:rFonts w:ascii="Arial" w:eastAsiaTheme="majorEastAsia" w:hAnsi="Arial" w:cstheme="majorBidi"/>
          <w:bCs/>
          <w:sz w:val="24"/>
          <w:szCs w:val="24"/>
          <w:lang w:val="en-US"/>
        </w:rPr>
        <w:t>body, including a fund, within or outside the boundaries of the municipality for any</w:t>
      </w:r>
    </w:p>
    <w:p w:rsidR="00B22857" w:rsidRDefault="00B22857" w:rsidP="00B2285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 w:rsidRPr="00B22857">
        <w:rPr>
          <w:rFonts w:ascii="Arial" w:eastAsiaTheme="majorEastAsia" w:hAnsi="Arial" w:cstheme="majorBidi"/>
          <w:bCs/>
          <w:sz w:val="24"/>
          <w:szCs w:val="24"/>
          <w:lang w:val="en-US"/>
        </w:rPr>
        <w:t>purpose that council considers to be in the interests of the municipality.</w:t>
      </w:r>
    </w:p>
    <w:p w:rsidR="00B22857" w:rsidRPr="00B22857" w:rsidRDefault="00B22857" w:rsidP="00B2285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</w:p>
    <w:p w:rsidR="00290607" w:rsidRDefault="00B22857" w:rsidP="00B2285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 w:rsidRPr="00B22857">
        <w:rPr>
          <w:rFonts w:ascii="Arial" w:eastAsiaTheme="majorEastAsia" w:hAnsi="Arial" w:cstheme="majorBidi"/>
          <w:bCs/>
          <w:sz w:val="24"/>
          <w:szCs w:val="24"/>
          <w:lang w:val="en-US"/>
        </w:rPr>
        <w:t>The City therefore establishes this policy to guide the distribution of Comm</w:t>
      </w:r>
      <w:r w:rsidR="00DF0784">
        <w:rPr>
          <w:rFonts w:ascii="Arial" w:eastAsiaTheme="majorEastAsia" w:hAnsi="Arial" w:cstheme="majorBidi"/>
          <w:bCs/>
          <w:sz w:val="24"/>
          <w:szCs w:val="24"/>
          <w:lang w:val="en-US"/>
        </w:rPr>
        <w:t>u</w:t>
      </w:r>
      <w:r w:rsidRPr="00B22857">
        <w:rPr>
          <w:rFonts w:ascii="Arial" w:eastAsiaTheme="majorEastAsia" w:hAnsi="Arial" w:cstheme="majorBidi"/>
          <w:bCs/>
          <w:sz w:val="24"/>
          <w:szCs w:val="24"/>
          <w:lang w:val="en-US"/>
        </w:rPr>
        <w:t>nity</w:t>
      </w:r>
      <w:r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Pr="00B22857">
        <w:rPr>
          <w:rFonts w:ascii="Arial" w:eastAsiaTheme="majorEastAsia" w:hAnsi="Arial" w:cstheme="majorBidi"/>
          <w:bCs/>
          <w:sz w:val="24"/>
          <w:szCs w:val="24"/>
          <w:lang w:val="en-US"/>
        </w:rPr>
        <w:t>Partnership and Development Funds for the purpose of providing operating funding</w:t>
      </w:r>
      <w:r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Pr="00B22857">
        <w:rPr>
          <w:rFonts w:ascii="Arial" w:eastAsiaTheme="majorEastAsia" w:hAnsi="Arial" w:cstheme="majorBidi"/>
          <w:bCs/>
          <w:sz w:val="24"/>
          <w:szCs w:val="24"/>
          <w:lang w:val="en-US"/>
        </w:rPr>
        <w:t>support to various community-based, not-for-profit organizations.</w:t>
      </w:r>
    </w:p>
    <w:p w:rsidR="00290607" w:rsidRDefault="00290607" w:rsidP="00B2285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</w:p>
    <w:p w:rsidR="00290607" w:rsidRPr="00290607" w:rsidRDefault="00290607" w:rsidP="00290607">
      <w:pPr>
        <w:keepNext/>
        <w:keepLines/>
        <w:spacing w:before="240" w:after="240" w:line="240" w:lineRule="auto"/>
        <w:outlineLvl w:val="0"/>
        <w:rPr>
          <w:rFonts w:ascii="Arial" w:eastAsiaTheme="majorEastAsia" w:hAnsi="Arial" w:cstheme="majorBidi"/>
          <w:b/>
          <w:bCs/>
          <w:sz w:val="28"/>
          <w:szCs w:val="28"/>
          <w:lang w:val="en-US"/>
        </w:rPr>
      </w:pPr>
      <w:r w:rsidRPr="00290607">
        <w:rPr>
          <w:rFonts w:ascii="Arial" w:eastAsiaTheme="majorEastAsia" w:hAnsi="Arial" w:cstheme="majorBidi"/>
          <w:b/>
          <w:bCs/>
          <w:sz w:val="28"/>
          <w:szCs w:val="28"/>
          <w:lang w:val="en-US"/>
        </w:rPr>
        <w:lastRenderedPageBreak/>
        <w:t>Scope:</w:t>
      </w:r>
    </w:p>
    <w:p w:rsidR="00290607" w:rsidRPr="00290607" w:rsidRDefault="00290607" w:rsidP="0029060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 w:rsidRPr="00290607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The Community Grants Program </w:t>
      </w:r>
      <w:r w:rsidRPr="00365033">
        <w:rPr>
          <w:rFonts w:ascii="Arial" w:eastAsiaTheme="majorEastAsia" w:hAnsi="Arial" w:cstheme="majorBidi"/>
          <w:bCs/>
          <w:sz w:val="24"/>
          <w:szCs w:val="24"/>
          <w:lang w:val="en-US"/>
        </w:rPr>
        <w:t>consists of three separate</w:t>
      </w:r>
      <w:r w:rsidRPr="00290607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elements – Beautification</w:t>
      </w:r>
    </w:p>
    <w:p w:rsidR="00290607" w:rsidRPr="00290607" w:rsidRDefault="00290607" w:rsidP="0029060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 w:rsidRPr="00290607">
        <w:rPr>
          <w:rFonts w:ascii="Arial" w:eastAsiaTheme="majorEastAsia" w:hAnsi="Arial" w:cstheme="majorBidi"/>
          <w:bCs/>
          <w:sz w:val="24"/>
          <w:szCs w:val="24"/>
          <w:lang w:val="en-US"/>
        </w:rPr>
        <w:t>Fund, Special Events Fund, and the Municipal Tax Rebate Fund. The</w:t>
      </w:r>
      <w:r w:rsidR="008825CF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Pr="00290607">
        <w:rPr>
          <w:rFonts w:ascii="Arial" w:eastAsiaTheme="majorEastAsia" w:hAnsi="Arial" w:cstheme="majorBidi"/>
          <w:bCs/>
          <w:sz w:val="24"/>
          <w:szCs w:val="24"/>
          <w:lang w:val="en-US"/>
        </w:rPr>
        <w:t>program is administered by the Community Services Department in conjunction with</w:t>
      </w:r>
    </w:p>
    <w:p w:rsidR="00290607" w:rsidRDefault="00290607" w:rsidP="0029060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 w:rsidRPr="00290607">
        <w:rPr>
          <w:rFonts w:ascii="Arial" w:eastAsiaTheme="majorEastAsia" w:hAnsi="Arial" w:cstheme="majorBidi"/>
          <w:bCs/>
          <w:sz w:val="24"/>
          <w:szCs w:val="24"/>
          <w:lang w:val="en-US"/>
        </w:rPr>
        <w:t>Council.</w:t>
      </w:r>
    </w:p>
    <w:p w:rsidR="00290607" w:rsidRPr="00290607" w:rsidRDefault="00290607" w:rsidP="0029060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</w:p>
    <w:p w:rsidR="00290607" w:rsidRPr="00290607" w:rsidRDefault="00290607" w:rsidP="0029060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 w:rsidRPr="00290607">
        <w:rPr>
          <w:rFonts w:ascii="Arial" w:eastAsiaTheme="majorEastAsia" w:hAnsi="Arial" w:cstheme="majorBidi"/>
          <w:bCs/>
          <w:sz w:val="24"/>
          <w:szCs w:val="24"/>
          <w:lang w:val="en-US"/>
        </w:rPr>
        <w:t>The Community Partnership and Development Fund Program policy addresses the</w:t>
      </w:r>
    </w:p>
    <w:p w:rsidR="00290607" w:rsidRPr="00290607" w:rsidRDefault="00290607" w:rsidP="0029060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 w:rsidRPr="00290607">
        <w:rPr>
          <w:rFonts w:ascii="Arial" w:eastAsiaTheme="majorEastAsia" w:hAnsi="Arial" w:cstheme="majorBidi"/>
          <w:bCs/>
          <w:sz w:val="24"/>
          <w:szCs w:val="24"/>
          <w:lang w:val="en-US"/>
        </w:rPr>
        <w:t>process for the request and distribution of operating and/or minor capital funds to be</w:t>
      </w:r>
    </w:p>
    <w:p w:rsidR="00290607" w:rsidRPr="00290607" w:rsidRDefault="00290607" w:rsidP="0029060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 w:rsidRPr="00290607">
        <w:rPr>
          <w:rFonts w:ascii="Arial" w:eastAsiaTheme="majorEastAsia" w:hAnsi="Arial" w:cstheme="majorBidi"/>
          <w:bCs/>
          <w:sz w:val="24"/>
          <w:szCs w:val="24"/>
          <w:lang w:val="en-US"/>
        </w:rPr>
        <w:t>used in partnership with local community organizations to provide financial support for</w:t>
      </w:r>
    </w:p>
    <w:p w:rsidR="00290607" w:rsidRPr="00290607" w:rsidRDefault="00290607" w:rsidP="0029060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 w:rsidRPr="00290607">
        <w:rPr>
          <w:rFonts w:ascii="Arial" w:eastAsiaTheme="majorEastAsia" w:hAnsi="Arial" w:cstheme="majorBidi"/>
          <w:bCs/>
          <w:sz w:val="24"/>
          <w:szCs w:val="24"/>
          <w:lang w:val="en-US"/>
        </w:rPr>
        <w:t>such organizations that provide a valuable resource and service to the municipality and</w:t>
      </w:r>
    </w:p>
    <w:p w:rsidR="00290607" w:rsidRDefault="00290607" w:rsidP="0029060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 w:rsidRPr="00290607">
        <w:rPr>
          <w:rFonts w:ascii="Arial" w:eastAsiaTheme="majorEastAsia" w:hAnsi="Arial" w:cstheme="majorBidi"/>
          <w:bCs/>
          <w:sz w:val="24"/>
          <w:szCs w:val="24"/>
          <w:lang w:val="en-US"/>
        </w:rPr>
        <w:t>its residents.</w:t>
      </w:r>
    </w:p>
    <w:p w:rsidR="00290607" w:rsidRPr="00290607" w:rsidRDefault="00290607" w:rsidP="0029060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</w:p>
    <w:p w:rsidR="00290607" w:rsidRPr="00290607" w:rsidRDefault="00290607" w:rsidP="00290607">
      <w:pPr>
        <w:keepNext/>
        <w:keepLines/>
        <w:spacing w:before="240" w:after="240" w:line="240" w:lineRule="auto"/>
        <w:outlineLvl w:val="0"/>
        <w:rPr>
          <w:rFonts w:ascii="Arial" w:eastAsiaTheme="majorEastAsia" w:hAnsi="Arial" w:cstheme="majorBidi"/>
          <w:b/>
          <w:bCs/>
          <w:sz w:val="28"/>
          <w:szCs w:val="28"/>
          <w:lang w:val="en-US"/>
        </w:rPr>
      </w:pPr>
      <w:r w:rsidRPr="00290607">
        <w:rPr>
          <w:rFonts w:ascii="Arial" w:eastAsiaTheme="majorEastAsia" w:hAnsi="Arial" w:cstheme="majorBidi"/>
          <w:b/>
          <w:bCs/>
          <w:sz w:val="28"/>
          <w:szCs w:val="28"/>
          <w:lang w:val="en-US"/>
        </w:rPr>
        <w:t>Definitions:</w:t>
      </w:r>
    </w:p>
    <w:p w:rsidR="00290607" w:rsidRPr="00290607" w:rsidRDefault="00290607" w:rsidP="0029060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 w:rsidRPr="00290607">
        <w:rPr>
          <w:rFonts w:ascii="Arial" w:eastAsiaTheme="majorEastAsia" w:hAnsi="Arial" w:cstheme="majorBidi"/>
          <w:bCs/>
          <w:sz w:val="24"/>
          <w:szCs w:val="24"/>
          <w:lang w:val="en-US"/>
        </w:rPr>
        <w:t>In reading and interpreting the Community Partnership and Development Fund Program</w:t>
      </w:r>
    </w:p>
    <w:p w:rsidR="00290607" w:rsidRDefault="00290607" w:rsidP="0029060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 w:rsidRPr="00290607">
        <w:rPr>
          <w:rFonts w:ascii="Arial" w:eastAsiaTheme="majorEastAsia" w:hAnsi="Arial" w:cstheme="majorBidi"/>
          <w:bCs/>
          <w:sz w:val="24"/>
          <w:szCs w:val="24"/>
          <w:lang w:val="en-US"/>
        </w:rPr>
        <w:t>policy, the following definitions apply:</w:t>
      </w:r>
    </w:p>
    <w:p w:rsidR="00290607" w:rsidRPr="00290607" w:rsidRDefault="00290607" w:rsidP="0029060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</w:p>
    <w:p w:rsidR="00290607" w:rsidRDefault="00290607" w:rsidP="0029060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 w:rsidRPr="00290607">
        <w:rPr>
          <w:rFonts w:ascii="Arial" w:eastAsiaTheme="majorEastAsia" w:hAnsi="Arial" w:cstheme="majorBidi"/>
          <w:bCs/>
          <w:sz w:val="24"/>
          <w:szCs w:val="24"/>
          <w:lang w:val="en-US"/>
        </w:rPr>
        <w:t>"City" means the Corporation of the City of Kawartha Lakes.</w:t>
      </w:r>
    </w:p>
    <w:p w:rsidR="00290607" w:rsidRPr="00290607" w:rsidRDefault="00290607" w:rsidP="0029060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</w:p>
    <w:p w:rsidR="00290607" w:rsidRPr="00290607" w:rsidRDefault="00290607" w:rsidP="0029060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 w:rsidRPr="00290607">
        <w:rPr>
          <w:rFonts w:ascii="Arial" w:eastAsiaTheme="majorEastAsia" w:hAnsi="Arial" w:cstheme="majorBidi"/>
          <w:bCs/>
          <w:sz w:val="24"/>
          <w:szCs w:val="24"/>
          <w:lang w:val="en-US"/>
        </w:rPr>
        <w:t>"Community Organization” means a local community group or association which</w:t>
      </w:r>
    </w:p>
    <w:p w:rsidR="00290607" w:rsidRPr="00290607" w:rsidRDefault="00290607" w:rsidP="0029060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 w:rsidRPr="00290607">
        <w:rPr>
          <w:rFonts w:ascii="Arial" w:eastAsiaTheme="majorEastAsia" w:hAnsi="Arial" w:cstheme="majorBidi"/>
          <w:bCs/>
          <w:sz w:val="24"/>
          <w:szCs w:val="24"/>
          <w:lang w:val="en-US"/>
        </w:rPr>
        <w:t>operates as a not-for-profit organization, is volunteer based, and provides a valuable</w:t>
      </w:r>
    </w:p>
    <w:p w:rsidR="00290607" w:rsidRPr="00290607" w:rsidRDefault="00290607" w:rsidP="0029060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 w:rsidRPr="00290607">
        <w:rPr>
          <w:rFonts w:ascii="Arial" w:eastAsiaTheme="majorEastAsia" w:hAnsi="Arial" w:cstheme="majorBidi"/>
          <w:bCs/>
          <w:sz w:val="24"/>
          <w:szCs w:val="24"/>
          <w:lang w:val="en-US"/>
        </w:rPr>
        <w:t>resource or service to the municipality and its residents. Committees of Council are not</w:t>
      </w:r>
    </w:p>
    <w:p w:rsidR="00290607" w:rsidRPr="00290607" w:rsidRDefault="00290607" w:rsidP="0029060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 w:rsidRPr="00290607">
        <w:rPr>
          <w:rFonts w:ascii="Arial" w:eastAsiaTheme="majorEastAsia" w:hAnsi="Arial" w:cstheme="majorBidi"/>
          <w:bCs/>
          <w:sz w:val="24"/>
          <w:szCs w:val="24"/>
          <w:lang w:val="en-US"/>
        </w:rPr>
        <w:t>considered an eligible “Community Organization” and therefore are not eligible for</w:t>
      </w:r>
    </w:p>
    <w:p w:rsidR="00290607" w:rsidRDefault="00290607" w:rsidP="0029060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 w:rsidRPr="00290607">
        <w:rPr>
          <w:rFonts w:ascii="Arial" w:eastAsiaTheme="majorEastAsia" w:hAnsi="Arial" w:cstheme="majorBidi"/>
          <w:bCs/>
          <w:sz w:val="24"/>
          <w:szCs w:val="24"/>
          <w:lang w:val="en-US"/>
        </w:rPr>
        <w:t>funding under this program.</w:t>
      </w:r>
    </w:p>
    <w:p w:rsidR="00290607" w:rsidRPr="00290607" w:rsidRDefault="00290607" w:rsidP="0029060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</w:p>
    <w:p w:rsidR="00290607" w:rsidRPr="00290607" w:rsidRDefault="00290607" w:rsidP="0029060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 w:rsidRPr="00290607">
        <w:rPr>
          <w:rFonts w:ascii="Arial" w:eastAsiaTheme="majorEastAsia" w:hAnsi="Arial" w:cstheme="majorBidi"/>
          <w:bCs/>
          <w:sz w:val="24"/>
          <w:szCs w:val="24"/>
          <w:lang w:val="en-US"/>
        </w:rPr>
        <w:t>“Matching Funds” means that a community group must provide equal funding, services</w:t>
      </w:r>
    </w:p>
    <w:p w:rsidR="00290607" w:rsidRDefault="00290607" w:rsidP="0029060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 w:rsidRPr="00290607">
        <w:rPr>
          <w:rFonts w:ascii="Arial" w:eastAsiaTheme="majorEastAsia" w:hAnsi="Arial" w:cstheme="majorBidi"/>
          <w:bCs/>
          <w:sz w:val="24"/>
          <w:szCs w:val="24"/>
          <w:lang w:val="en-US"/>
        </w:rPr>
        <w:t>/donations in kind to be included, in order to be eligible to receive funding.</w:t>
      </w:r>
    </w:p>
    <w:p w:rsidR="008F79CC" w:rsidRPr="00290607" w:rsidRDefault="008F79CC" w:rsidP="0029060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</w:p>
    <w:p w:rsidR="00290607" w:rsidRPr="00290607" w:rsidRDefault="00290607" w:rsidP="0029060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 w:rsidRPr="00290607">
        <w:rPr>
          <w:rFonts w:ascii="Arial" w:eastAsiaTheme="majorEastAsia" w:hAnsi="Arial" w:cstheme="majorBidi"/>
          <w:bCs/>
          <w:sz w:val="24"/>
          <w:szCs w:val="24"/>
          <w:lang w:val="en-US"/>
        </w:rPr>
        <w:t>“Milestone Special Event” means a quarter century event being planned/hosted by a</w:t>
      </w:r>
    </w:p>
    <w:p w:rsidR="00290607" w:rsidRPr="00290607" w:rsidRDefault="00290607" w:rsidP="0029060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 w:rsidRPr="00290607">
        <w:rPr>
          <w:rFonts w:ascii="Arial" w:eastAsiaTheme="majorEastAsia" w:hAnsi="Arial" w:cstheme="majorBidi"/>
          <w:bCs/>
          <w:sz w:val="24"/>
          <w:szCs w:val="24"/>
          <w:lang w:val="en-US"/>
        </w:rPr>
        <w:t>not-for-profit organization and is intended as a community celebration for local</w:t>
      </w:r>
    </w:p>
    <w:p w:rsidR="00290607" w:rsidRDefault="00290607" w:rsidP="0029060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 w:rsidRPr="00290607">
        <w:rPr>
          <w:rFonts w:ascii="Arial" w:eastAsiaTheme="majorEastAsia" w:hAnsi="Arial" w:cstheme="majorBidi"/>
          <w:bCs/>
          <w:sz w:val="24"/>
          <w:szCs w:val="24"/>
          <w:lang w:val="en-US"/>
        </w:rPr>
        <w:t>residents.</w:t>
      </w:r>
    </w:p>
    <w:p w:rsidR="00290607" w:rsidRPr="00290607" w:rsidRDefault="00290607" w:rsidP="0029060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</w:p>
    <w:p w:rsidR="00290607" w:rsidRPr="00290607" w:rsidRDefault="00290607" w:rsidP="0029060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 w:rsidRPr="00290607">
        <w:rPr>
          <w:rFonts w:ascii="Arial" w:eastAsiaTheme="majorEastAsia" w:hAnsi="Arial" w:cstheme="majorBidi"/>
          <w:bCs/>
          <w:sz w:val="24"/>
          <w:szCs w:val="24"/>
          <w:lang w:val="en-US"/>
        </w:rPr>
        <w:t>“Beautification” means a project or initiative that benefits the local community or City as</w:t>
      </w:r>
    </w:p>
    <w:p w:rsidR="00290607" w:rsidRPr="00290607" w:rsidRDefault="00290607" w:rsidP="0029060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 w:rsidRPr="00290607">
        <w:rPr>
          <w:rFonts w:ascii="Arial" w:eastAsiaTheme="majorEastAsia" w:hAnsi="Arial" w:cstheme="majorBidi"/>
          <w:bCs/>
          <w:sz w:val="24"/>
          <w:szCs w:val="24"/>
          <w:lang w:val="en-US"/>
        </w:rPr>
        <w:t>a whole. This would include but not be limited to such projects as horticultural/downtown</w:t>
      </w:r>
    </w:p>
    <w:p w:rsidR="00290607" w:rsidRPr="00290607" w:rsidRDefault="00290607" w:rsidP="0029060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 w:rsidRPr="00290607">
        <w:rPr>
          <w:rFonts w:ascii="Arial" w:eastAsiaTheme="majorEastAsia" w:hAnsi="Arial" w:cstheme="majorBidi"/>
          <w:bCs/>
          <w:sz w:val="24"/>
          <w:szCs w:val="24"/>
          <w:lang w:val="en-US"/>
        </w:rPr>
        <w:t>initiatives (hanging baskets, flower beds), seasonal displays (banners, seasonal</w:t>
      </w:r>
    </w:p>
    <w:p w:rsidR="00290607" w:rsidRPr="00290607" w:rsidRDefault="00290607" w:rsidP="0029060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 w:rsidRPr="00290607">
        <w:rPr>
          <w:rFonts w:ascii="Arial" w:eastAsiaTheme="majorEastAsia" w:hAnsi="Arial" w:cstheme="majorBidi"/>
          <w:bCs/>
          <w:sz w:val="24"/>
          <w:szCs w:val="24"/>
          <w:lang w:val="en-US"/>
        </w:rPr>
        <w:t>decorations) and welcome signage (including entrance features on municipally owned</w:t>
      </w:r>
    </w:p>
    <w:p w:rsidR="00290607" w:rsidRDefault="00290607" w:rsidP="0029060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 w:rsidRPr="00290607">
        <w:rPr>
          <w:rFonts w:ascii="Arial" w:eastAsiaTheme="majorEastAsia" w:hAnsi="Arial" w:cstheme="majorBidi"/>
          <w:bCs/>
          <w:sz w:val="24"/>
          <w:szCs w:val="24"/>
          <w:lang w:val="en-US"/>
        </w:rPr>
        <w:t>road allowances).</w:t>
      </w:r>
    </w:p>
    <w:p w:rsidR="00290607" w:rsidRPr="00290607" w:rsidRDefault="00290607" w:rsidP="0029060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</w:p>
    <w:p w:rsidR="00290607" w:rsidRPr="00290607" w:rsidRDefault="00290607" w:rsidP="0029060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 w:rsidRPr="00290607">
        <w:rPr>
          <w:rFonts w:ascii="Arial" w:eastAsiaTheme="majorEastAsia" w:hAnsi="Arial" w:cstheme="majorBidi"/>
          <w:bCs/>
          <w:sz w:val="24"/>
          <w:szCs w:val="24"/>
          <w:lang w:val="en-US"/>
        </w:rPr>
        <w:lastRenderedPageBreak/>
        <w:t>“Special Event” means any community activity that is a one-time or annual occurrence</w:t>
      </w:r>
    </w:p>
    <w:p w:rsidR="00290607" w:rsidRPr="00290607" w:rsidRDefault="00290607" w:rsidP="0029060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 w:rsidRPr="00290607">
        <w:rPr>
          <w:rFonts w:ascii="Arial" w:eastAsiaTheme="majorEastAsia" w:hAnsi="Arial" w:cstheme="majorBidi"/>
          <w:bCs/>
          <w:sz w:val="24"/>
          <w:szCs w:val="24"/>
          <w:lang w:val="en-US"/>
        </w:rPr>
        <w:t>being hosted/organized by a not-for-profit organization and is for the purpose of a local</w:t>
      </w:r>
    </w:p>
    <w:p w:rsidR="008F79CC" w:rsidRDefault="00290607" w:rsidP="0029060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 w:rsidRPr="00290607">
        <w:rPr>
          <w:rFonts w:ascii="Arial" w:eastAsiaTheme="majorEastAsia" w:hAnsi="Arial" w:cstheme="majorBidi"/>
          <w:bCs/>
          <w:sz w:val="24"/>
          <w:szCs w:val="24"/>
          <w:lang w:val="en-US"/>
        </w:rPr>
        <w:t>community celebration without an expectation of profit generation</w:t>
      </w:r>
      <w:r w:rsidR="008F79CC">
        <w:rPr>
          <w:rFonts w:ascii="Arial" w:eastAsiaTheme="majorEastAsia" w:hAnsi="Arial" w:cstheme="majorBidi"/>
          <w:bCs/>
          <w:sz w:val="24"/>
          <w:szCs w:val="24"/>
          <w:lang w:val="en-US"/>
        </w:rPr>
        <w:t>.</w:t>
      </w:r>
    </w:p>
    <w:p w:rsidR="008F79CC" w:rsidRDefault="008F79CC" w:rsidP="00290607">
      <w:pPr>
        <w:spacing w:after="0" w:line="240" w:lineRule="auto"/>
        <w:rPr>
          <w:rFonts w:ascii="Arial" w:eastAsiaTheme="majorEastAsia" w:hAnsi="Arial" w:cstheme="majorBidi"/>
          <w:bCs/>
          <w:sz w:val="24"/>
          <w:szCs w:val="24"/>
          <w:lang w:val="en-US"/>
        </w:rPr>
      </w:pPr>
    </w:p>
    <w:p w:rsidR="008F79CC" w:rsidRPr="008F79CC" w:rsidRDefault="008F79CC" w:rsidP="008F79CC">
      <w:pPr>
        <w:keepNext/>
        <w:keepLines/>
        <w:spacing w:before="240" w:after="240" w:line="240" w:lineRule="auto"/>
        <w:outlineLvl w:val="0"/>
        <w:rPr>
          <w:rFonts w:ascii="Arial" w:eastAsiaTheme="majorEastAsia" w:hAnsi="Arial" w:cstheme="majorBidi"/>
          <w:b/>
          <w:bCs/>
          <w:sz w:val="28"/>
          <w:szCs w:val="28"/>
          <w:lang w:val="en-US"/>
        </w:rPr>
      </w:pPr>
      <w:r w:rsidRPr="008F79CC">
        <w:rPr>
          <w:rFonts w:ascii="Arial" w:eastAsiaTheme="majorEastAsia" w:hAnsi="Arial" w:cstheme="majorBidi"/>
          <w:b/>
          <w:bCs/>
          <w:sz w:val="28"/>
          <w:szCs w:val="28"/>
          <w:lang w:val="en-US"/>
        </w:rPr>
        <w:t>Management Directive:</w:t>
      </w:r>
    </w:p>
    <w:p w:rsidR="008F79CC" w:rsidRDefault="008F79CC" w:rsidP="008F79CC">
      <w:pPr>
        <w:spacing w:after="0" w:line="240" w:lineRule="auto"/>
        <w:rPr>
          <w:rFonts w:ascii="Arial" w:eastAsiaTheme="majorEastAsia" w:hAnsi="Arial" w:cstheme="majorBidi"/>
          <w:b/>
          <w:bCs/>
          <w:sz w:val="24"/>
          <w:szCs w:val="24"/>
          <w:lang w:val="en-US"/>
        </w:rPr>
      </w:pPr>
      <w:r w:rsidRPr="004717D6">
        <w:rPr>
          <w:rFonts w:ascii="Arial" w:eastAsiaTheme="majorEastAsia" w:hAnsi="Arial" w:cstheme="majorBidi"/>
          <w:b/>
          <w:bCs/>
          <w:sz w:val="24"/>
          <w:szCs w:val="24"/>
          <w:lang w:val="en-US"/>
        </w:rPr>
        <w:t>Beautification Fund</w:t>
      </w:r>
    </w:p>
    <w:p w:rsidR="008825CF" w:rsidRPr="004717D6" w:rsidRDefault="008825CF" w:rsidP="008F79CC">
      <w:pPr>
        <w:spacing w:after="0" w:line="240" w:lineRule="auto"/>
        <w:rPr>
          <w:rFonts w:ascii="Arial" w:eastAsiaTheme="majorEastAsia" w:hAnsi="Arial" w:cstheme="majorBidi"/>
          <w:b/>
          <w:bCs/>
          <w:sz w:val="24"/>
          <w:szCs w:val="24"/>
          <w:lang w:val="en-US"/>
        </w:rPr>
      </w:pPr>
    </w:p>
    <w:p w:rsidR="008F79CC" w:rsidRPr="008F79CC" w:rsidRDefault="008F79CC" w:rsidP="008F79CC">
      <w:pPr>
        <w:spacing w:after="0" w:line="240" w:lineRule="auto"/>
        <w:ind w:lef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 w:rsidRPr="008F79CC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1.01 </w:t>
      </w:r>
      <w:r>
        <w:rPr>
          <w:rFonts w:ascii="Arial" w:eastAsiaTheme="majorEastAsia" w:hAnsi="Arial" w:cstheme="majorBidi"/>
          <w:bCs/>
          <w:sz w:val="24"/>
          <w:szCs w:val="24"/>
          <w:lang w:val="en-US"/>
        </w:rPr>
        <w:tab/>
      </w:r>
      <w:r w:rsidRPr="008F79CC">
        <w:rPr>
          <w:rFonts w:ascii="Arial" w:eastAsiaTheme="majorEastAsia" w:hAnsi="Arial" w:cstheme="majorBidi"/>
          <w:bCs/>
          <w:sz w:val="24"/>
          <w:szCs w:val="24"/>
          <w:lang w:val="en-US"/>
        </w:rPr>
        <w:t>Total funding allotment for this fund will be allocated City wide as determined by</w:t>
      </w:r>
    </w:p>
    <w:p w:rsidR="008F79CC" w:rsidRDefault="008F79CC" w:rsidP="008F79CC">
      <w:pPr>
        <w:spacing w:after="0" w:line="240" w:lineRule="auto"/>
        <w:ind w:left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 w:rsidRPr="008F79CC">
        <w:rPr>
          <w:rFonts w:ascii="Arial" w:eastAsiaTheme="majorEastAsia" w:hAnsi="Arial" w:cstheme="majorBidi"/>
          <w:bCs/>
          <w:sz w:val="24"/>
          <w:szCs w:val="24"/>
          <w:lang w:val="en-US"/>
        </w:rPr>
        <w:t>the Annual Operating Budget of the Community Services Department.</w:t>
      </w:r>
    </w:p>
    <w:p w:rsidR="008F79CC" w:rsidRPr="008F79CC" w:rsidRDefault="008F79CC" w:rsidP="008F79CC">
      <w:pPr>
        <w:spacing w:after="0" w:line="240" w:lineRule="auto"/>
        <w:ind w:lef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</w:p>
    <w:p w:rsidR="008F79CC" w:rsidRDefault="008F79CC" w:rsidP="008F79CC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 w:rsidRPr="008F79CC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1.02 </w:t>
      </w:r>
      <w:r>
        <w:rPr>
          <w:rFonts w:ascii="Arial" w:eastAsiaTheme="majorEastAsia" w:hAnsi="Arial" w:cstheme="majorBidi"/>
          <w:bCs/>
          <w:sz w:val="24"/>
          <w:szCs w:val="24"/>
          <w:lang w:val="en-US"/>
        </w:rPr>
        <w:tab/>
      </w:r>
      <w:r w:rsidRPr="008F79CC">
        <w:rPr>
          <w:rFonts w:ascii="Arial" w:eastAsiaTheme="majorEastAsia" w:hAnsi="Arial" w:cstheme="majorBidi"/>
          <w:bCs/>
          <w:sz w:val="24"/>
          <w:szCs w:val="24"/>
          <w:lang w:val="en-US"/>
        </w:rPr>
        <w:t>Community Organizations must apply in writing to the Community Services</w:t>
      </w:r>
      <w:r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Pr="008F79CC">
        <w:rPr>
          <w:rFonts w:ascii="Arial" w:eastAsiaTheme="majorEastAsia" w:hAnsi="Arial" w:cstheme="majorBidi"/>
          <w:bCs/>
          <w:sz w:val="24"/>
          <w:szCs w:val="24"/>
          <w:lang w:val="en-US"/>
        </w:rPr>
        <w:t>Department prior to October 31st for projects and/or initiatives scheduled for the</w:t>
      </w:r>
      <w:r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Pr="008F79CC">
        <w:rPr>
          <w:rFonts w:ascii="Arial" w:eastAsiaTheme="majorEastAsia" w:hAnsi="Arial" w:cstheme="majorBidi"/>
          <w:bCs/>
          <w:sz w:val="24"/>
          <w:szCs w:val="24"/>
          <w:lang w:val="en-US"/>
        </w:rPr>
        <w:t>next calendar year.</w:t>
      </w:r>
    </w:p>
    <w:p w:rsidR="008F79CC" w:rsidRPr="008F79CC" w:rsidRDefault="008F79CC" w:rsidP="008F79CC">
      <w:pPr>
        <w:spacing w:after="0" w:line="240" w:lineRule="auto"/>
        <w:ind w:lef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</w:p>
    <w:p w:rsidR="008F79CC" w:rsidRDefault="008F79CC" w:rsidP="008F79CC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 w:rsidRPr="008F79CC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1.03 </w:t>
      </w:r>
      <w:r>
        <w:rPr>
          <w:rFonts w:ascii="Arial" w:eastAsiaTheme="majorEastAsia" w:hAnsi="Arial" w:cstheme="majorBidi"/>
          <w:bCs/>
          <w:sz w:val="24"/>
          <w:szCs w:val="24"/>
          <w:lang w:val="en-US"/>
        </w:rPr>
        <w:tab/>
      </w:r>
      <w:r w:rsidRPr="008F79CC">
        <w:rPr>
          <w:rFonts w:ascii="Arial" w:eastAsiaTheme="majorEastAsia" w:hAnsi="Arial" w:cstheme="majorBidi"/>
          <w:bCs/>
          <w:sz w:val="24"/>
          <w:szCs w:val="24"/>
          <w:lang w:val="en-US"/>
        </w:rPr>
        <w:t>The applying Community Organization must provide proof of matching funds to</w:t>
      </w:r>
      <w:r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Pr="008F79CC">
        <w:rPr>
          <w:rFonts w:ascii="Arial" w:eastAsiaTheme="majorEastAsia" w:hAnsi="Arial" w:cstheme="majorBidi"/>
          <w:bCs/>
          <w:sz w:val="24"/>
          <w:szCs w:val="24"/>
          <w:lang w:val="en-US"/>
        </w:rPr>
        <w:t>be considered eligible for funding allotment. For the purposes of this Program,</w:t>
      </w:r>
      <w:r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Pr="008F79CC">
        <w:rPr>
          <w:rFonts w:ascii="Arial" w:eastAsiaTheme="majorEastAsia" w:hAnsi="Arial" w:cstheme="majorBidi"/>
          <w:bCs/>
          <w:sz w:val="24"/>
          <w:szCs w:val="24"/>
          <w:lang w:val="en-US"/>
        </w:rPr>
        <w:t>the non-cash component of the matching funds may represent no more than 25%</w:t>
      </w:r>
      <w:r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Pr="008F79CC">
        <w:rPr>
          <w:rFonts w:ascii="Arial" w:eastAsiaTheme="majorEastAsia" w:hAnsi="Arial" w:cstheme="majorBidi"/>
          <w:bCs/>
          <w:sz w:val="24"/>
          <w:szCs w:val="24"/>
          <w:lang w:val="en-US"/>
        </w:rPr>
        <w:t>of the matching contribution. Hours of time contributed by volunteers are to be</w:t>
      </w:r>
      <w:r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Pr="008027AA">
        <w:rPr>
          <w:rFonts w:ascii="Arial" w:eastAsiaTheme="majorEastAsia" w:hAnsi="Arial" w:cstheme="majorBidi"/>
          <w:bCs/>
          <w:sz w:val="24"/>
          <w:szCs w:val="24"/>
          <w:lang w:val="en-US"/>
        </w:rPr>
        <w:t>valued at $20 per hour</w:t>
      </w:r>
      <w:r w:rsidRPr="008F79CC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if they are used as part of the matching funds contribution</w:t>
      </w:r>
      <w:r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Pr="008F79CC">
        <w:rPr>
          <w:rFonts w:ascii="Arial" w:eastAsiaTheme="majorEastAsia" w:hAnsi="Arial" w:cstheme="majorBidi"/>
          <w:bCs/>
          <w:sz w:val="24"/>
          <w:szCs w:val="24"/>
          <w:lang w:val="en-US"/>
        </w:rPr>
        <w:t>and will be considered as part of the 25% non-cash component.</w:t>
      </w:r>
    </w:p>
    <w:p w:rsidR="008F79CC" w:rsidRPr="008F79CC" w:rsidRDefault="008F79CC" w:rsidP="008F79CC">
      <w:pPr>
        <w:spacing w:after="0" w:line="240" w:lineRule="auto"/>
        <w:ind w:lef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</w:p>
    <w:p w:rsidR="008F79CC" w:rsidRDefault="008F79CC" w:rsidP="007B1CE5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 w:rsidRPr="008F79CC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1.04 </w:t>
      </w:r>
      <w:r w:rsidR="007B1CE5">
        <w:rPr>
          <w:rFonts w:ascii="Arial" w:eastAsiaTheme="majorEastAsia" w:hAnsi="Arial" w:cstheme="majorBidi"/>
          <w:bCs/>
          <w:sz w:val="24"/>
          <w:szCs w:val="24"/>
          <w:lang w:val="en-US"/>
        </w:rPr>
        <w:tab/>
      </w:r>
      <w:r w:rsidRPr="008F79CC">
        <w:rPr>
          <w:rFonts w:ascii="Arial" w:eastAsiaTheme="majorEastAsia" w:hAnsi="Arial" w:cstheme="majorBidi"/>
          <w:bCs/>
          <w:sz w:val="24"/>
          <w:szCs w:val="24"/>
          <w:lang w:val="en-US"/>
        </w:rPr>
        <w:t>The applicant must provide a detailed description and any necessary approvals</w:t>
      </w:r>
      <w:r w:rsidR="007B1CE5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Pr="008F79CC">
        <w:rPr>
          <w:rFonts w:ascii="Arial" w:eastAsiaTheme="majorEastAsia" w:hAnsi="Arial" w:cstheme="majorBidi"/>
          <w:bCs/>
          <w:sz w:val="24"/>
          <w:szCs w:val="24"/>
          <w:lang w:val="en-US"/>
        </w:rPr>
        <w:t>for the proposed use of the funds and the funds must only be used for operating</w:t>
      </w:r>
      <w:r w:rsidR="007B1CE5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Pr="008F79CC">
        <w:rPr>
          <w:rFonts w:ascii="Arial" w:eastAsiaTheme="majorEastAsia" w:hAnsi="Arial" w:cstheme="majorBidi"/>
          <w:bCs/>
          <w:sz w:val="24"/>
          <w:szCs w:val="24"/>
          <w:lang w:val="en-US"/>
        </w:rPr>
        <w:t>purposes or those capital initiatives of a minor nature.</w:t>
      </w:r>
    </w:p>
    <w:p w:rsidR="008F79CC" w:rsidRPr="008F79CC" w:rsidRDefault="008F79CC" w:rsidP="007B1CE5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</w:p>
    <w:p w:rsidR="008F79CC" w:rsidRDefault="008F79CC" w:rsidP="007B1CE5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 w:rsidRPr="008F79CC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1.05 </w:t>
      </w:r>
      <w:r w:rsidR="007B1CE5">
        <w:rPr>
          <w:rFonts w:ascii="Arial" w:eastAsiaTheme="majorEastAsia" w:hAnsi="Arial" w:cstheme="majorBidi"/>
          <w:bCs/>
          <w:sz w:val="24"/>
          <w:szCs w:val="24"/>
          <w:lang w:val="en-US"/>
        </w:rPr>
        <w:tab/>
      </w:r>
      <w:r w:rsidRPr="008F79CC">
        <w:rPr>
          <w:rFonts w:ascii="Arial" w:eastAsiaTheme="majorEastAsia" w:hAnsi="Arial" w:cstheme="majorBidi"/>
          <w:bCs/>
          <w:sz w:val="24"/>
          <w:szCs w:val="24"/>
          <w:lang w:val="en-US"/>
        </w:rPr>
        <w:t>The funding must be used for the purpose of streetscape beautification project(s)</w:t>
      </w:r>
      <w:r w:rsidR="007B1CE5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Pr="008F79CC">
        <w:rPr>
          <w:rFonts w:ascii="Arial" w:eastAsiaTheme="majorEastAsia" w:hAnsi="Arial" w:cstheme="majorBidi"/>
          <w:bCs/>
          <w:sz w:val="24"/>
          <w:szCs w:val="24"/>
          <w:lang w:val="en-US"/>
        </w:rPr>
        <w:t>within the City of Kawartha Lakes and are limited to downtown areas, entrance</w:t>
      </w:r>
      <w:r w:rsidR="007B1CE5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Pr="008F79CC">
        <w:rPr>
          <w:rFonts w:ascii="Arial" w:eastAsiaTheme="majorEastAsia" w:hAnsi="Arial" w:cstheme="majorBidi"/>
          <w:bCs/>
          <w:sz w:val="24"/>
          <w:szCs w:val="24"/>
          <w:lang w:val="en-US"/>
        </w:rPr>
        <w:t>areas (including those on road allowances), community properties and/or Parks</w:t>
      </w:r>
      <w:r w:rsidR="007B1CE5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Pr="008F79CC">
        <w:rPr>
          <w:rFonts w:ascii="Arial" w:eastAsiaTheme="majorEastAsia" w:hAnsi="Arial" w:cstheme="majorBidi"/>
          <w:bCs/>
          <w:sz w:val="24"/>
          <w:szCs w:val="24"/>
          <w:lang w:val="en-US"/>
        </w:rPr>
        <w:t>and Recreation Division facilities/properties.</w:t>
      </w:r>
    </w:p>
    <w:p w:rsidR="008F79CC" w:rsidRPr="008F79CC" w:rsidRDefault="008F79CC" w:rsidP="007B1CE5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</w:p>
    <w:p w:rsidR="008F79CC" w:rsidRDefault="008F79CC" w:rsidP="007B1CE5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 w:rsidRPr="008F79CC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1.06 </w:t>
      </w:r>
      <w:r w:rsidR="007B1CE5">
        <w:rPr>
          <w:rFonts w:ascii="Arial" w:eastAsiaTheme="majorEastAsia" w:hAnsi="Arial" w:cstheme="majorBidi"/>
          <w:bCs/>
          <w:sz w:val="24"/>
          <w:szCs w:val="24"/>
          <w:lang w:val="en-US"/>
        </w:rPr>
        <w:tab/>
      </w:r>
      <w:r w:rsidRPr="008F79CC">
        <w:rPr>
          <w:rFonts w:ascii="Arial" w:eastAsiaTheme="majorEastAsia" w:hAnsi="Arial" w:cstheme="majorBidi"/>
          <w:bCs/>
          <w:sz w:val="24"/>
          <w:szCs w:val="24"/>
          <w:lang w:val="en-US"/>
        </w:rPr>
        <w:t>Organizations are limited to one beautification funding request per year.</w:t>
      </w:r>
    </w:p>
    <w:p w:rsidR="008F79CC" w:rsidRPr="008F79CC" w:rsidRDefault="008F79CC" w:rsidP="007B1CE5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</w:p>
    <w:p w:rsidR="008F79CC" w:rsidRDefault="008F79CC" w:rsidP="007B1CE5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 w:rsidRPr="008F79CC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1.07 </w:t>
      </w:r>
      <w:r w:rsidR="007B1CE5">
        <w:rPr>
          <w:rFonts w:ascii="Arial" w:eastAsiaTheme="majorEastAsia" w:hAnsi="Arial" w:cstheme="majorBidi"/>
          <w:bCs/>
          <w:sz w:val="24"/>
          <w:szCs w:val="24"/>
          <w:lang w:val="en-US"/>
        </w:rPr>
        <w:tab/>
      </w:r>
      <w:r w:rsidRPr="008F79CC">
        <w:rPr>
          <w:rFonts w:ascii="Arial" w:eastAsiaTheme="majorEastAsia" w:hAnsi="Arial" w:cstheme="majorBidi"/>
          <w:bCs/>
          <w:sz w:val="24"/>
          <w:szCs w:val="24"/>
          <w:lang w:val="en-US"/>
        </w:rPr>
        <w:t>A year-end accounting and summary of the project or initiative must be submitted</w:t>
      </w:r>
      <w:r w:rsidR="007B1CE5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Pr="008F79CC">
        <w:rPr>
          <w:rFonts w:ascii="Arial" w:eastAsiaTheme="majorEastAsia" w:hAnsi="Arial" w:cstheme="majorBidi"/>
          <w:bCs/>
          <w:sz w:val="24"/>
          <w:szCs w:val="24"/>
          <w:lang w:val="en-US"/>
        </w:rPr>
        <w:t>to the Community Services Department by December 31st.</w:t>
      </w:r>
    </w:p>
    <w:p w:rsidR="008F79CC" w:rsidRPr="008F79CC" w:rsidRDefault="008F79CC" w:rsidP="007B1CE5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</w:p>
    <w:p w:rsidR="008F79CC" w:rsidRPr="008F79CC" w:rsidRDefault="008F79CC" w:rsidP="007B1CE5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 w:rsidRPr="008F79CC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1.08 </w:t>
      </w:r>
      <w:r w:rsidR="007B1CE5">
        <w:rPr>
          <w:rFonts w:ascii="Arial" w:eastAsiaTheme="majorEastAsia" w:hAnsi="Arial" w:cstheme="majorBidi"/>
          <w:bCs/>
          <w:sz w:val="24"/>
          <w:szCs w:val="24"/>
          <w:lang w:val="en-US"/>
        </w:rPr>
        <w:tab/>
      </w:r>
      <w:r w:rsidRPr="008F79CC">
        <w:rPr>
          <w:rFonts w:ascii="Arial" w:eastAsiaTheme="majorEastAsia" w:hAnsi="Arial" w:cstheme="majorBidi"/>
          <w:bCs/>
          <w:sz w:val="24"/>
          <w:szCs w:val="24"/>
          <w:lang w:val="en-US"/>
        </w:rPr>
        <w:t>Proposals will be reviewed and authorized by the Director of Community</w:t>
      </w:r>
    </w:p>
    <w:p w:rsidR="005868B8" w:rsidRDefault="008F79CC" w:rsidP="007B1CE5">
      <w:pPr>
        <w:spacing w:after="0" w:line="240" w:lineRule="auto"/>
        <w:ind w:left="720" w:right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 w:rsidRPr="008F79CC">
        <w:rPr>
          <w:rFonts w:ascii="Arial" w:eastAsiaTheme="majorEastAsia" w:hAnsi="Arial" w:cstheme="majorBidi"/>
          <w:bCs/>
          <w:sz w:val="24"/>
          <w:szCs w:val="24"/>
          <w:lang w:val="en-US"/>
        </w:rPr>
        <w:lastRenderedPageBreak/>
        <w:t>Services, or designate and reported on to Council for information purposes.</w:t>
      </w:r>
      <w:r w:rsidR="007B1CE5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 </w:t>
      </w:r>
      <w:r w:rsidRPr="008F79CC">
        <w:rPr>
          <w:rFonts w:ascii="Arial" w:eastAsiaTheme="majorEastAsia" w:hAnsi="Arial" w:cstheme="majorBidi"/>
          <w:bCs/>
          <w:sz w:val="24"/>
          <w:szCs w:val="24"/>
          <w:lang w:val="en-US"/>
        </w:rPr>
        <w:t>However, in the event there is more demand for a program than funds,</w:t>
      </w:r>
      <w:r w:rsidR="007B1CE5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Pr="008F79CC">
        <w:rPr>
          <w:rFonts w:ascii="Arial" w:eastAsiaTheme="majorEastAsia" w:hAnsi="Arial" w:cstheme="majorBidi"/>
          <w:bCs/>
          <w:sz w:val="24"/>
          <w:szCs w:val="24"/>
          <w:lang w:val="en-US"/>
        </w:rPr>
        <w:t>recommendations for the use of the funds will be made to Council.</w:t>
      </w:r>
    </w:p>
    <w:p w:rsidR="005868B8" w:rsidRDefault="005868B8" w:rsidP="007B1CE5">
      <w:pPr>
        <w:spacing w:after="0" w:line="240" w:lineRule="auto"/>
        <w:ind w:left="720" w:right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</w:p>
    <w:p w:rsidR="005868B8" w:rsidRPr="004717D6" w:rsidRDefault="005868B8" w:rsidP="005868B8">
      <w:pPr>
        <w:spacing w:after="0" w:line="240" w:lineRule="auto"/>
        <w:ind w:right="720"/>
        <w:rPr>
          <w:rFonts w:ascii="Arial" w:eastAsiaTheme="majorEastAsia" w:hAnsi="Arial" w:cstheme="majorBidi"/>
          <w:b/>
          <w:bCs/>
          <w:sz w:val="24"/>
          <w:szCs w:val="24"/>
          <w:lang w:val="en-US"/>
        </w:rPr>
      </w:pPr>
      <w:r w:rsidRPr="004717D6">
        <w:rPr>
          <w:rFonts w:ascii="Arial" w:eastAsiaTheme="majorEastAsia" w:hAnsi="Arial" w:cstheme="majorBidi"/>
          <w:b/>
          <w:bCs/>
          <w:sz w:val="24"/>
          <w:szCs w:val="24"/>
          <w:lang w:val="en-US"/>
        </w:rPr>
        <w:t>Special Events</w:t>
      </w:r>
    </w:p>
    <w:p w:rsidR="005868B8" w:rsidRPr="005868B8" w:rsidRDefault="005868B8" w:rsidP="005868B8">
      <w:pPr>
        <w:spacing w:after="0" w:line="240" w:lineRule="auto"/>
        <w:ind w:right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</w:p>
    <w:p w:rsidR="005868B8" w:rsidRDefault="004717D6" w:rsidP="005868B8">
      <w:pPr>
        <w:spacing w:after="0" w:line="240" w:lineRule="auto"/>
        <w:ind w:right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>
        <w:rPr>
          <w:rFonts w:ascii="Arial" w:eastAsiaTheme="majorEastAsia" w:hAnsi="Arial" w:cstheme="majorBidi"/>
          <w:bCs/>
          <w:sz w:val="24"/>
          <w:szCs w:val="24"/>
          <w:lang w:val="en-US"/>
        </w:rPr>
        <w:t>2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.01 </w:t>
      </w:r>
      <w:r w:rsid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ab/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Total funding allotment for this fund to be allocated City wide.</w:t>
      </w:r>
    </w:p>
    <w:p w:rsidR="005868B8" w:rsidRPr="005868B8" w:rsidRDefault="005868B8" w:rsidP="005868B8">
      <w:pPr>
        <w:spacing w:after="0" w:line="240" w:lineRule="auto"/>
        <w:ind w:right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</w:p>
    <w:p w:rsidR="005868B8" w:rsidRDefault="004717D6" w:rsidP="005868B8">
      <w:pPr>
        <w:spacing w:after="0" w:line="240" w:lineRule="auto"/>
        <w:ind w:lef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>
        <w:rPr>
          <w:rFonts w:ascii="Arial" w:eastAsiaTheme="majorEastAsia" w:hAnsi="Arial" w:cstheme="majorBidi"/>
          <w:bCs/>
          <w:sz w:val="24"/>
          <w:szCs w:val="24"/>
          <w:lang w:val="en-US"/>
        </w:rPr>
        <w:t>2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.02 </w:t>
      </w:r>
      <w:r w:rsid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ab/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Historically most funding requests and grants for Special Events purposes have</w:t>
      </w:r>
      <w:r w:rsid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on average been $</w:t>
      </w:r>
      <w:r w:rsidR="008027AA">
        <w:rPr>
          <w:rFonts w:ascii="Arial" w:eastAsiaTheme="majorEastAsia" w:hAnsi="Arial" w:cstheme="majorBidi"/>
          <w:bCs/>
          <w:sz w:val="24"/>
          <w:szCs w:val="24"/>
          <w:lang w:val="en-US"/>
        </w:rPr>
        <w:t>10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00 or less. For this purpose the maximum funding allotted to</w:t>
      </w:r>
      <w:r w:rsid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an event in any calendar </w:t>
      </w:r>
      <w:r w:rsidR="005868B8" w:rsidRPr="008027AA">
        <w:rPr>
          <w:rFonts w:ascii="Arial" w:eastAsiaTheme="majorEastAsia" w:hAnsi="Arial" w:cstheme="majorBidi"/>
          <w:bCs/>
          <w:sz w:val="24"/>
          <w:szCs w:val="24"/>
          <w:lang w:val="en-US"/>
        </w:rPr>
        <w:t>year will be $</w:t>
      </w:r>
      <w:r w:rsidR="008027AA" w:rsidRPr="008027AA">
        <w:rPr>
          <w:rFonts w:ascii="Arial" w:eastAsiaTheme="majorEastAsia" w:hAnsi="Arial" w:cstheme="majorBidi"/>
          <w:bCs/>
          <w:sz w:val="24"/>
          <w:szCs w:val="24"/>
          <w:lang w:val="en-US"/>
        </w:rPr>
        <w:t>100</w:t>
      </w:r>
      <w:r w:rsidR="005868B8" w:rsidRPr="008027AA">
        <w:rPr>
          <w:rFonts w:ascii="Arial" w:eastAsiaTheme="majorEastAsia" w:hAnsi="Arial" w:cstheme="majorBidi"/>
          <w:bCs/>
          <w:sz w:val="24"/>
          <w:szCs w:val="24"/>
          <w:lang w:val="en-US"/>
        </w:rPr>
        <w:t>0. This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will allow for a greater number of</w:t>
      </w:r>
      <w:r w:rsid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Community Organizations/events to benefit from the program.</w:t>
      </w:r>
    </w:p>
    <w:p w:rsidR="005868B8" w:rsidRPr="005868B8" w:rsidRDefault="005868B8" w:rsidP="005868B8">
      <w:pPr>
        <w:spacing w:after="0" w:line="240" w:lineRule="auto"/>
        <w:ind w:lef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</w:p>
    <w:p w:rsidR="005868B8" w:rsidRDefault="004717D6" w:rsidP="00105D8E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>
        <w:rPr>
          <w:rFonts w:ascii="Arial" w:eastAsiaTheme="majorEastAsia" w:hAnsi="Arial" w:cstheme="majorBidi"/>
          <w:bCs/>
          <w:sz w:val="24"/>
          <w:szCs w:val="24"/>
          <w:lang w:val="en-US"/>
        </w:rPr>
        <w:t>2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.03 </w:t>
      </w:r>
      <w:r w:rsidR="00105D8E">
        <w:rPr>
          <w:rFonts w:ascii="Arial" w:eastAsiaTheme="majorEastAsia" w:hAnsi="Arial" w:cstheme="majorBidi"/>
          <w:bCs/>
          <w:sz w:val="24"/>
          <w:szCs w:val="24"/>
          <w:lang w:val="en-US"/>
        </w:rPr>
        <w:tab/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Only Special Events being planned and hosted by a not-for-profit organization</w:t>
      </w:r>
      <w:r w:rsidR="00105D8E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will be considered eligible. Commercial/retail activities such as business</w:t>
      </w:r>
      <w:r w:rsidR="00105D8E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anniversaries, Sidewalk Sales or Midnight Madness are not eligible. Municipal</w:t>
      </w:r>
      <w:r w:rsidR="00105D8E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Events are not eligible to receive special event funding.</w:t>
      </w:r>
    </w:p>
    <w:p w:rsidR="005868B8" w:rsidRPr="005868B8" w:rsidRDefault="005868B8" w:rsidP="005868B8">
      <w:pPr>
        <w:spacing w:after="0" w:line="240" w:lineRule="auto"/>
        <w:ind w:lef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</w:p>
    <w:p w:rsidR="005868B8" w:rsidRDefault="004717D6" w:rsidP="00105D8E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>
        <w:rPr>
          <w:rFonts w:ascii="Arial" w:eastAsiaTheme="majorEastAsia" w:hAnsi="Arial" w:cstheme="majorBidi"/>
          <w:bCs/>
          <w:sz w:val="24"/>
          <w:szCs w:val="24"/>
          <w:lang w:val="en-US"/>
        </w:rPr>
        <w:t>2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.04 </w:t>
      </w:r>
      <w:r w:rsidR="00105D8E">
        <w:rPr>
          <w:rFonts w:ascii="Arial" w:eastAsiaTheme="majorEastAsia" w:hAnsi="Arial" w:cstheme="majorBidi"/>
          <w:bCs/>
          <w:sz w:val="24"/>
          <w:szCs w:val="24"/>
          <w:lang w:val="en-US"/>
        </w:rPr>
        <w:tab/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Events which are being hosted with a purpose to generate a surplus of revenue</w:t>
      </w:r>
      <w:r w:rsidR="00105D8E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over expenses are not considered eligible to receive grant funding. This includes</w:t>
      </w:r>
      <w:r w:rsidR="00105D8E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fund raising style events (benefit style, charitable donation purpose, etc.)</w:t>
      </w:r>
    </w:p>
    <w:p w:rsidR="005868B8" w:rsidRPr="005868B8" w:rsidRDefault="005868B8" w:rsidP="00105D8E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</w:p>
    <w:p w:rsidR="005868B8" w:rsidRDefault="004717D6" w:rsidP="00B50D6B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>
        <w:rPr>
          <w:rFonts w:ascii="Arial" w:eastAsiaTheme="majorEastAsia" w:hAnsi="Arial" w:cstheme="majorBidi"/>
          <w:bCs/>
          <w:sz w:val="24"/>
          <w:szCs w:val="24"/>
          <w:lang w:val="en-US"/>
        </w:rPr>
        <w:t>2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.05 </w:t>
      </w:r>
      <w:r w:rsidR="00D91D35">
        <w:rPr>
          <w:rFonts w:ascii="Arial" w:eastAsiaTheme="majorEastAsia" w:hAnsi="Arial" w:cstheme="majorBidi"/>
          <w:bCs/>
          <w:sz w:val="24"/>
          <w:szCs w:val="24"/>
          <w:lang w:val="en-US"/>
        </w:rPr>
        <w:tab/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New events will receive more consideration than events that have received</w:t>
      </w:r>
      <w:r w:rsidR="00D91D35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consecutive funding in the past. This will allow for a greater number of</w:t>
      </w:r>
      <w:r w:rsidR="00D91D35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Community Organizations/events to benefit from the program.</w:t>
      </w:r>
    </w:p>
    <w:p w:rsidR="005868B8" w:rsidRPr="005868B8" w:rsidRDefault="005868B8" w:rsidP="00B50D6B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</w:p>
    <w:p w:rsidR="005868B8" w:rsidRDefault="004717D6" w:rsidP="00B50D6B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>
        <w:rPr>
          <w:rFonts w:ascii="Arial" w:eastAsiaTheme="majorEastAsia" w:hAnsi="Arial" w:cstheme="majorBidi"/>
          <w:bCs/>
          <w:sz w:val="24"/>
          <w:szCs w:val="24"/>
          <w:lang w:val="en-US"/>
        </w:rPr>
        <w:t>2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.06 </w:t>
      </w:r>
      <w:r w:rsidR="00D91D35">
        <w:rPr>
          <w:rFonts w:ascii="Arial" w:eastAsiaTheme="majorEastAsia" w:hAnsi="Arial" w:cstheme="majorBidi"/>
          <w:bCs/>
          <w:sz w:val="24"/>
          <w:szCs w:val="24"/>
          <w:lang w:val="en-US"/>
        </w:rPr>
        <w:tab/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Groups receiving the fee waived while using Parks and Recreation facilities are</w:t>
      </w:r>
      <w:r w:rsidR="00D91D35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deemed ineligible through this program.</w:t>
      </w:r>
    </w:p>
    <w:p w:rsidR="005868B8" w:rsidRPr="005868B8" w:rsidRDefault="005868B8" w:rsidP="00B50D6B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</w:p>
    <w:p w:rsidR="005868B8" w:rsidRDefault="004717D6" w:rsidP="00B50D6B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>
        <w:rPr>
          <w:rFonts w:ascii="Arial" w:eastAsiaTheme="majorEastAsia" w:hAnsi="Arial" w:cstheme="majorBidi"/>
          <w:bCs/>
          <w:sz w:val="24"/>
          <w:szCs w:val="24"/>
          <w:lang w:val="en-US"/>
        </w:rPr>
        <w:t>2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.07 </w:t>
      </w:r>
      <w:r w:rsidR="00D91D35">
        <w:rPr>
          <w:rFonts w:ascii="Arial" w:eastAsiaTheme="majorEastAsia" w:hAnsi="Arial" w:cstheme="majorBidi"/>
          <w:bCs/>
          <w:sz w:val="24"/>
          <w:szCs w:val="24"/>
          <w:lang w:val="en-US"/>
        </w:rPr>
        <w:tab/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Community Organizations must apply in writing to the Community Services</w:t>
      </w:r>
      <w:r w:rsidR="00D91D35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Department prior to October 31st for events scheduled for the next calendar year.</w:t>
      </w:r>
      <w:r w:rsidR="00D91D35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Applications submitted in the second round of funding must be for events taking</w:t>
      </w:r>
      <w:r w:rsidR="00D91D35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place after July 31st.</w:t>
      </w:r>
    </w:p>
    <w:p w:rsidR="005868B8" w:rsidRPr="005868B8" w:rsidRDefault="005868B8" w:rsidP="00B50D6B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</w:p>
    <w:p w:rsidR="005868B8" w:rsidRDefault="004717D6" w:rsidP="00D91D35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>
        <w:rPr>
          <w:rFonts w:ascii="Arial" w:eastAsiaTheme="majorEastAsia" w:hAnsi="Arial" w:cstheme="majorBidi"/>
          <w:bCs/>
          <w:sz w:val="24"/>
          <w:szCs w:val="24"/>
          <w:lang w:val="en-US"/>
        </w:rPr>
        <w:t>2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.08 </w:t>
      </w:r>
      <w:r w:rsidR="00D91D35">
        <w:rPr>
          <w:rFonts w:ascii="Arial" w:eastAsiaTheme="majorEastAsia" w:hAnsi="Arial" w:cstheme="majorBidi"/>
          <w:bCs/>
          <w:sz w:val="24"/>
          <w:szCs w:val="24"/>
          <w:lang w:val="en-US"/>
        </w:rPr>
        <w:tab/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The applicant must provide a detailed description of the proposed use of the</w:t>
      </w:r>
      <w:r w:rsidR="00D91D35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funds and the funds must be used for operating purposes only.</w:t>
      </w:r>
    </w:p>
    <w:p w:rsidR="005868B8" w:rsidRPr="005868B8" w:rsidRDefault="005868B8" w:rsidP="00B50D6B">
      <w:pPr>
        <w:spacing w:after="0" w:line="240" w:lineRule="auto"/>
        <w:ind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</w:p>
    <w:p w:rsidR="005868B8" w:rsidRDefault="004717D6" w:rsidP="00D91D35">
      <w:pPr>
        <w:spacing w:after="0" w:line="240" w:lineRule="auto"/>
        <w:ind w:right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>
        <w:rPr>
          <w:rFonts w:ascii="Arial" w:eastAsiaTheme="majorEastAsia" w:hAnsi="Arial" w:cstheme="majorBidi"/>
          <w:bCs/>
          <w:sz w:val="24"/>
          <w:szCs w:val="24"/>
          <w:lang w:val="en-US"/>
        </w:rPr>
        <w:t>2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.09 </w:t>
      </w:r>
      <w:r w:rsidR="00D91D35">
        <w:rPr>
          <w:rFonts w:ascii="Arial" w:eastAsiaTheme="majorEastAsia" w:hAnsi="Arial" w:cstheme="majorBidi"/>
          <w:bCs/>
          <w:sz w:val="24"/>
          <w:szCs w:val="24"/>
          <w:lang w:val="en-US"/>
        </w:rPr>
        <w:tab/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Food, wages, gifts, and cash prizes are not considered eligible expenses.</w:t>
      </w:r>
    </w:p>
    <w:p w:rsidR="005868B8" w:rsidRPr="005868B8" w:rsidRDefault="005868B8" w:rsidP="00B50D6B">
      <w:pPr>
        <w:spacing w:after="0" w:line="240" w:lineRule="auto"/>
        <w:ind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</w:p>
    <w:p w:rsidR="005868B8" w:rsidRDefault="004717D6" w:rsidP="00E22C29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>
        <w:rPr>
          <w:rFonts w:ascii="Arial" w:eastAsiaTheme="majorEastAsia" w:hAnsi="Arial" w:cstheme="majorBidi"/>
          <w:bCs/>
          <w:sz w:val="24"/>
          <w:szCs w:val="24"/>
          <w:lang w:val="en-US"/>
        </w:rPr>
        <w:lastRenderedPageBreak/>
        <w:t>2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.10 </w:t>
      </w:r>
      <w:r w:rsidR="00D91D35">
        <w:rPr>
          <w:rFonts w:ascii="Arial" w:eastAsiaTheme="majorEastAsia" w:hAnsi="Arial" w:cstheme="majorBidi"/>
          <w:bCs/>
          <w:sz w:val="24"/>
          <w:szCs w:val="24"/>
          <w:lang w:val="en-US"/>
        </w:rPr>
        <w:tab/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Organizations are limited to one funding request for one special event per year.</w:t>
      </w:r>
      <w:r w:rsid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 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Each Special Event is limited to one funding request.</w:t>
      </w:r>
    </w:p>
    <w:p w:rsidR="005868B8" w:rsidRPr="005868B8" w:rsidRDefault="005868B8" w:rsidP="00B50D6B">
      <w:pPr>
        <w:spacing w:after="0" w:line="240" w:lineRule="auto"/>
        <w:ind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</w:p>
    <w:p w:rsidR="005868B8" w:rsidRDefault="004717D6" w:rsidP="00E22C29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>
        <w:rPr>
          <w:rFonts w:ascii="Arial" w:eastAsiaTheme="majorEastAsia" w:hAnsi="Arial" w:cstheme="majorBidi"/>
          <w:bCs/>
          <w:sz w:val="24"/>
          <w:szCs w:val="24"/>
          <w:lang w:val="en-US"/>
        </w:rPr>
        <w:t>2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.11 </w:t>
      </w:r>
      <w:r w:rsidR="00D91D35">
        <w:rPr>
          <w:rFonts w:ascii="Arial" w:eastAsiaTheme="majorEastAsia" w:hAnsi="Arial" w:cstheme="majorBidi"/>
          <w:bCs/>
          <w:sz w:val="24"/>
          <w:szCs w:val="24"/>
          <w:lang w:val="en-US"/>
        </w:rPr>
        <w:tab/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All funds must be expended during the calendar year applied for or future year’s</w:t>
      </w:r>
      <w:r w:rsidR="00E22C29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applications will not be considered eligible.</w:t>
      </w:r>
    </w:p>
    <w:p w:rsidR="005868B8" w:rsidRPr="005868B8" w:rsidRDefault="005868B8" w:rsidP="00B50D6B">
      <w:pPr>
        <w:spacing w:after="0" w:line="240" w:lineRule="auto"/>
        <w:ind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</w:p>
    <w:p w:rsidR="005868B8" w:rsidRDefault="004717D6" w:rsidP="00E22C29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>
        <w:rPr>
          <w:rFonts w:ascii="Arial" w:eastAsiaTheme="majorEastAsia" w:hAnsi="Arial" w:cstheme="majorBidi"/>
          <w:bCs/>
          <w:sz w:val="24"/>
          <w:szCs w:val="24"/>
          <w:lang w:val="en-US"/>
        </w:rPr>
        <w:t>2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.12 </w:t>
      </w:r>
      <w:r w:rsidR="00B50D6B">
        <w:rPr>
          <w:rFonts w:ascii="Arial" w:eastAsiaTheme="majorEastAsia" w:hAnsi="Arial" w:cstheme="majorBidi"/>
          <w:bCs/>
          <w:sz w:val="24"/>
          <w:szCs w:val="24"/>
          <w:lang w:val="en-US"/>
        </w:rPr>
        <w:tab/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A year-end accounting and summary of the project or initiative must be submitted</w:t>
      </w:r>
      <w:r w:rsid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to the Community Services Department by December 31st.</w:t>
      </w:r>
    </w:p>
    <w:p w:rsidR="005868B8" w:rsidRPr="005868B8" w:rsidRDefault="005868B8" w:rsidP="00B50D6B">
      <w:pPr>
        <w:spacing w:after="0" w:line="240" w:lineRule="auto"/>
        <w:ind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</w:p>
    <w:p w:rsidR="005868B8" w:rsidRPr="005868B8" w:rsidRDefault="004717D6" w:rsidP="00E22C29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>
        <w:rPr>
          <w:rFonts w:ascii="Arial" w:eastAsiaTheme="majorEastAsia" w:hAnsi="Arial" w:cstheme="majorBidi"/>
          <w:bCs/>
          <w:sz w:val="24"/>
          <w:szCs w:val="24"/>
          <w:lang w:val="en-US"/>
        </w:rPr>
        <w:t>2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.13 </w:t>
      </w:r>
      <w:r w:rsidR="00B50D6B">
        <w:rPr>
          <w:rFonts w:ascii="Arial" w:eastAsiaTheme="majorEastAsia" w:hAnsi="Arial" w:cstheme="majorBidi"/>
          <w:bCs/>
          <w:sz w:val="24"/>
          <w:szCs w:val="24"/>
          <w:lang w:val="en-US"/>
        </w:rPr>
        <w:tab/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Proposals will be reviewed and authorized by the Director of Community</w:t>
      </w:r>
    </w:p>
    <w:p w:rsidR="005868B8" w:rsidRDefault="005868B8" w:rsidP="00E22C29">
      <w:pPr>
        <w:spacing w:after="0" w:line="240" w:lineRule="auto"/>
        <w:ind w:left="720" w:right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Services, or designate and reported on to Council for information purposes.</w:t>
      </w:r>
      <w:r w:rsidR="00E22C29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However, in the event there is more demand for a program than funds,</w:t>
      </w:r>
      <w:r w:rsidR="00E22C29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recommendations for the use of the funds will be made to Council.</w:t>
      </w:r>
    </w:p>
    <w:p w:rsidR="005868B8" w:rsidRPr="005868B8" w:rsidRDefault="005868B8" w:rsidP="00B50D6B">
      <w:pPr>
        <w:spacing w:after="0" w:line="240" w:lineRule="auto"/>
        <w:ind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</w:p>
    <w:p w:rsidR="005868B8" w:rsidRDefault="004717D6" w:rsidP="00D91D35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>
        <w:rPr>
          <w:rFonts w:ascii="Arial" w:eastAsiaTheme="majorEastAsia" w:hAnsi="Arial" w:cstheme="majorBidi"/>
          <w:bCs/>
          <w:sz w:val="24"/>
          <w:szCs w:val="24"/>
          <w:lang w:val="en-US"/>
        </w:rPr>
        <w:t>2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.14 </w:t>
      </w:r>
      <w:r w:rsidR="00B50D6B">
        <w:rPr>
          <w:rFonts w:ascii="Arial" w:eastAsiaTheme="majorEastAsia" w:hAnsi="Arial" w:cstheme="majorBidi"/>
          <w:bCs/>
          <w:sz w:val="24"/>
          <w:szCs w:val="24"/>
          <w:lang w:val="en-US"/>
        </w:rPr>
        <w:tab/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Program applicants are encouraged to seek any and all alternate sources of</w:t>
      </w:r>
      <w:r w:rsidR="00D91D35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funding but are advised that application to this program precludes application to</w:t>
      </w:r>
      <w:r w:rsidR="00D91D35">
        <w:rPr>
          <w:rFonts w:ascii="Arial" w:eastAsiaTheme="majorEastAsia" w:hAnsi="Arial" w:cstheme="majorBidi"/>
          <w:bCs/>
          <w:sz w:val="24"/>
          <w:szCs w:val="24"/>
          <w:lang w:val="en-US"/>
        </w:rPr>
        <w:tab/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any other source of special event funding that may be provided by the City.</w:t>
      </w:r>
    </w:p>
    <w:p w:rsidR="005868B8" w:rsidRPr="005868B8" w:rsidRDefault="005868B8" w:rsidP="00B50D6B">
      <w:pPr>
        <w:spacing w:after="0" w:line="240" w:lineRule="auto"/>
        <w:ind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</w:p>
    <w:p w:rsidR="005868B8" w:rsidRPr="004717D6" w:rsidRDefault="005868B8" w:rsidP="00D91D35">
      <w:pPr>
        <w:spacing w:after="0" w:line="240" w:lineRule="auto"/>
        <w:ind w:left="720" w:right="720" w:hanging="720"/>
        <w:rPr>
          <w:rFonts w:ascii="Arial" w:eastAsiaTheme="majorEastAsia" w:hAnsi="Arial" w:cstheme="majorBidi"/>
          <w:b/>
          <w:bCs/>
          <w:sz w:val="24"/>
          <w:szCs w:val="24"/>
          <w:lang w:val="en-US"/>
        </w:rPr>
      </w:pPr>
      <w:r w:rsidRPr="004717D6">
        <w:rPr>
          <w:rFonts w:ascii="Arial" w:eastAsiaTheme="majorEastAsia" w:hAnsi="Arial" w:cstheme="majorBidi"/>
          <w:b/>
          <w:bCs/>
          <w:sz w:val="24"/>
          <w:szCs w:val="24"/>
          <w:lang w:val="en-US"/>
        </w:rPr>
        <w:t>Municipal Tax Rebate Program</w:t>
      </w:r>
    </w:p>
    <w:p w:rsidR="005868B8" w:rsidRPr="005868B8" w:rsidRDefault="005868B8" w:rsidP="00D91D35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</w:p>
    <w:p w:rsidR="005868B8" w:rsidRDefault="004717D6" w:rsidP="00F016EC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>
        <w:rPr>
          <w:rFonts w:ascii="Arial" w:eastAsiaTheme="majorEastAsia" w:hAnsi="Arial" w:cstheme="majorBidi"/>
          <w:bCs/>
          <w:sz w:val="24"/>
          <w:szCs w:val="24"/>
          <w:lang w:val="en-US"/>
        </w:rPr>
        <w:t>3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.01 </w:t>
      </w:r>
      <w:r w:rsidR="00B50D6B">
        <w:rPr>
          <w:rFonts w:ascii="Arial" w:eastAsiaTheme="majorEastAsia" w:hAnsi="Arial" w:cstheme="majorBidi"/>
          <w:bCs/>
          <w:sz w:val="24"/>
          <w:szCs w:val="24"/>
          <w:lang w:val="en-US"/>
        </w:rPr>
        <w:tab/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Total funding allotment for this fund will be allocated City wide. This fund </w:t>
      </w:r>
      <w:r w:rsidR="00F016EC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was 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established to “grandfather” those community organizations which traditionally</w:t>
      </w:r>
      <w:r w:rsidR="00E22C29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receive a municipal tax rebate. Such organizations provide recreational services</w:t>
      </w:r>
      <w:r w:rsidR="00E22C29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and facilities for the general public.</w:t>
      </w:r>
    </w:p>
    <w:p w:rsidR="005868B8" w:rsidRPr="005868B8" w:rsidRDefault="005868B8" w:rsidP="00D91D35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</w:p>
    <w:p w:rsidR="005868B8" w:rsidRDefault="004717D6" w:rsidP="00D91D35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>
        <w:rPr>
          <w:rFonts w:ascii="Arial" w:eastAsiaTheme="majorEastAsia" w:hAnsi="Arial" w:cstheme="majorBidi"/>
          <w:bCs/>
          <w:sz w:val="24"/>
          <w:szCs w:val="24"/>
          <w:lang w:val="en-US"/>
        </w:rPr>
        <w:t>3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.02 </w:t>
      </w:r>
      <w:r w:rsidR="00B50D6B">
        <w:rPr>
          <w:rFonts w:ascii="Arial" w:eastAsiaTheme="majorEastAsia" w:hAnsi="Arial" w:cstheme="majorBidi"/>
          <w:bCs/>
          <w:sz w:val="24"/>
          <w:szCs w:val="24"/>
          <w:lang w:val="en-US"/>
        </w:rPr>
        <w:tab/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The amount available for this fund will need to be reviewed annually to allow for</w:t>
      </w:r>
      <w:r w:rsid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annual revisions to municipal taxes, and will be determined during the</w:t>
      </w:r>
      <w:r w:rsidR="00E22C29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preparation of the Annual Operating Budget of the Community Services</w:t>
      </w:r>
      <w:r w:rsidR="00E22C29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Department.</w:t>
      </w:r>
    </w:p>
    <w:p w:rsidR="005868B8" w:rsidRPr="005868B8" w:rsidRDefault="005868B8" w:rsidP="00D91D35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</w:p>
    <w:p w:rsidR="005868B8" w:rsidRDefault="004717D6" w:rsidP="00D91D35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>
        <w:rPr>
          <w:rFonts w:ascii="Arial" w:eastAsiaTheme="majorEastAsia" w:hAnsi="Arial" w:cstheme="majorBidi"/>
          <w:bCs/>
          <w:sz w:val="24"/>
          <w:szCs w:val="24"/>
          <w:lang w:val="en-US"/>
        </w:rPr>
        <w:t>3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.03 </w:t>
      </w:r>
      <w:r w:rsidR="00B50D6B">
        <w:rPr>
          <w:rFonts w:ascii="Arial" w:eastAsiaTheme="majorEastAsia" w:hAnsi="Arial" w:cstheme="majorBidi"/>
          <w:bCs/>
          <w:sz w:val="24"/>
          <w:szCs w:val="24"/>
          <w:lang w:val="en-US"/>
        </w:rPr>
        <w:tab/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Community Organizations must apply in writing to the Community Services</w:t>
      </w:r>
      <w:r w:rsidR="00E22C29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Department prior to October 31st of each year for a rebate equal to no more than</w:t>
      </w:r>
      <w:r w:rsidR="00E22C29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the municipal portion of their property tax bill for that year.</w:t>
      </w:r>
    </w:p>
    <w:p w:rsidR="005868B8" w:rsidRPr="005868B8" w:rsidRDefault="005868B8" w:rsidP="00D91D35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</w:p>
    <w:p w:rsidR="005868B8" w:rsidRDefault="004717D6" w:rsidP="00D91D35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>
        <w:rPr>
          <w:rFonts w:ascii="Arial" w:eastAsiaTheme="majorEastAsia" w:hAnsi="Arial" w:cstheme="majorBidi"/>
          <w:bCs/>
          <w:sz w:val="24"/>
          <w:szCs w:val="24"/>
          <w:lang w:val="en-US"/>
        </w:rPr>
        <w:t>3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.04 </w:t>
      </w:r>
      <w:r w:rsidR="00B50D6B">
        <w:rPr>
          <w:rFonts w:ascii="Arial" w:eastAsiaTheme="majorEastAsia" w:hAnsi="Arial" w:cstheme="majorBidi"/>
          <w:bCs/>
          <w:sz w:val="24"/>
          <w:szCs w:val="24"/>
          <w:lang w:val="en-US"/>
        </w:rPr>
        <w:tab/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Organizations are limited to one funding request, per property, per calendar year.</w:t>
      </w:r>
    </w:p>
    <w:p w:rsidR="005868B8" w:rsidRPr="005868B8" w:rsidRDefault="005868B8" w:rsidP="00D91D35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</w:p>
    <w:p w:rsidR="005868B8" w:rsidRPr="005868B8" w:rsidRDefault="004717D6" w:rsidP="00D91D35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>
        <w:rPr>
          <w:rFonts w:ascii="Arial" w:eastAsiaTheme="majorEastAsia" w:hAnsi="Arial" w:cstheme="majorBidi"/>
          <w:bCs/>
          <w:sz w:val="24"/>
          <w:szCs w:val="24"/>
          <w:lang w:val="en-US"/>
        </w:rPr>
        <w:t>3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.05 </w:t>
      </w:r>
      <w:r w:rsidR="00B50D6B">
        <w:rPr>
          <w:rFonts w:ascii="Arial" w:eastAsiaTheme="majorEastAsia" w:hAnsi="Arial" w:cstheme="majorBidi"/>
          <w:bCs/>
          <w:sz w:val="24"/>
          <w:szCs w:val="24"/>
          <w:lang w:val="en-US"/>
        </w:rPr>
        <w:tab/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Proposals will be reviewed and authorized by the Director of Community</w:t>
      </w:r>
    </w:p>
    <w:p w:rsidR="005868B8" w:rsidRDefault="005868B8" w:rsidP="00E22C29">
      <w:pPr>
        <w:spacing w:after="0" w:line="240" w:lineRule="auto"/>
        <w:ind w:left="720" w:right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lastRenderedPageBreak/>
        <w:t>Services, or designate and reported on the Council for information purposes.</w:t>
      </w:r>
      <w:r w:rsidR="00E22C29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However, in the event there is more demand for a program than funds,</w:t>
      </w:r>
      <w:r w:rsidR="00E22C29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recommendations for the use of the funds will be made to Council.</w:t>
      </w:r>
    </w:p>
    <w:p w:rsidR="005868B8" w:rsidRPr="005868B8" w:rsidRDefault="005868B8" w:rsidP="00D91D35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</w:p>
    <w:p w:rsidR="005868B8" w:rsidRDefault="004717D6" w:rsidP="00D91D35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>
        <w:rPr>
          <w:rFonts w:ascii="Arial" w:eastAsiaTheme="majorEastAsia" w:hAnsi="Arial" w:cstheme="majorBidi"/>
          <w:bCs/>
          <w:sz w:val="24"/>
          <w:szCs w:val="24"/>
          <w:lang w:val="en-US"/>
        </w:rPr>
        <w:t>3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.06 </w:t>
      </w:r>
      <w:r w:rsidR="00B50D6B">
        <w:rPr>
          <w:rFonts w:ascii="Arial" w:eastAsiaTheme="majorEastAsia" w:hAnsi="Arial" w:cstheme="majorBidi"/>
          <w:bCs/>
          <w:sz w:val="24"/>
          <w:szCs w:val="24"/>
          <w:lang w:val="en-US"/>
        </w:rPr>
        <w:tab/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Funds will not be expensed until the City’s final tax bills have been issued</w:t>
      </w:r>
    </w:p>
    <w:p w:rsidR="005868B8" w:rsidRDefault="005868B8" w:rsidP="00D91D35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</w:p>
    <w:p w:rsidR="005868B8" w:rsidRPr="004717D6" w:rsidRDefault="005868B8" w:rsidP="00D91D35">
      <w:pPr>
        <w:spacing w:after="0" w:line="240" w:lineRule="auto"/>
        <w:ind w:left="720" w:right="720" w:hanging="720"/>
        <w:rPr>
          <w:rFonts w:ascii="Arial" w:eastAsiaTheme="majorEastAsia" w:hAnsi="Arial" w:cstheme="majorBidi"/>
          <w:b/>
          <w:bCs/>
          <w:sz w:val="24"/>
          <w:szCs w:val="24"/>
          <w:lang w:val="en-US"/>
        </w:rPr>
      </w:pPr>
      <w:r w:rsidRPr="004717D6">
        <w:rPr>
          <w:rFonts w:ascii="Arial" w:eastAsiaTheme="majorEastAsia" w:hAnsi="Arial" w:cstheme="majorBidi"/>
          <w:b/>
          <w:bCs/>
          <w:sz w:val="24"/>
          <w:szCs w:val="24"/>
          <w:lang w:val="en-US"/>
        </w:rPr>
        <w:t>Milestone Special Event</w:t>
      </w:r>
    </w:p>
    <w:p w:rsidR="005868B8" w:rsidRPr="005868B8" w:rsidRDefault="005868B8" w:rsidP="00D91D35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</w:p>
    <w:p w:rsidR="005868B8" w:rsidRDefault="004717D6" w:rsidP="00D91D35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>
        <w:rPr>
          <w:rFonts w:ascii="Arial" w:eastAsiaTheme="majorEastAsia" w:hAnsi="Arial" w:cstheme="majorBidi"/>
          <w:bCs/>
          <w:sz w:val="24"/>
          <w:szCs w:val="24"/>
          <w:lang w:val="en-US"/>
        </w:rPr>
        <w:t>4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.01 </w:t>
      </w:r>
      <w:r w:rsidR="00B50D6B">
        <w:rPr>
          <w:rFonts w:ascii="Arial" w:eastAsiaTheme="majorEastAsia" w:hAnsi="Arial" w:cstheme="majorBidi"/>
          <w:bCs/>
          <w:sz w:val="24"/>
          <w:szCs w:val="24"/>
          <w:lang w:val="en-US"/>
        </w:rPr>
        <w:tab/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Total funding allotment to be determined on an annual basis dependent upon</w:t>
      </w:r>
      <w:r w:rsid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applications received. The funding required for the applications which meet the</w:t>
      </w:r>
      <w:r w:rsid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criteria will form the basis of the budget development for the following calendar</w:t>
      </w:r>
      <w:r w:rsid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year.</w:t>
      </w:r>
    </w:p>
    <w:p w:rsidR="005868B8" w:rsidRPr="005868B8" w:rsidRDefault="005868B8" w:rsidP="00D91D35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</w:p>
    <w:p w:rsidR="005868B8" w:rsidRDefault="004717D6" w:rsidP="00D91D35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>
        <w:rPr>
          <w:rFonts w:ascii="Arial" w:eastAsiaTheme="majorEastAsia" w:hAnsi="Arial" w:cstheme="majorBidi"/>
          <w:bCs/>
          <w:sz w:val="24"/>
          <w:szCs w:val="24"/>
          <w:lang w:val="en-US"/>
        </w:rPr>
        <w:t>4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.02 </w:t>
      </w:r>
      <w:r w:rsidR="00B50D6B">
        <w:rPr>
          <w:rFonts w:ascii="Arial" w:eastAsiaTheme="majorEastAsia" w:hAnsi="Arial" w:cstheme="majorBidi"/>
          <w:bCs/>
          <w:sz w:val="24"/>
          <w:szCs w:val="24"/>
          <w:lang w:val="en-US"/>
        </w:rPr>
        <w:tab/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Funding per Milestone Special Event will be to a maximum of $10,000 per event.</w:t>
      </w:r>
    </w:p>
    <w:p w:rsidR="005868B8" w:rsidRPr="005868B8" w:rsidRDefault="005868B8" w:rsidP="00D91D35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</w:p>
    <w:p w:rsidR="005868B8" w:rsidRDefault="004717D6" w:rsidP="00D91D35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>
        <w:rPr>
          <w:rFonts w:ascii="Arial" w:eastAsiaTheme="majorEastAsia" w:hAnsi="Arial" w:cstheme="majorBidi"/>
          <w:bCs/>
          <w:sz w:val="24"/>
          <w:szCs w:val="24"/>
          <w:lang w:val="en-US"/>
        </w:rPr>
        <w:t>4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.03 </w:t>
      </w:r>
      <w:r w:rsidR="00B50D6B">
        <w:rPr>
          <w:rFonts w:ascii="Arial" w:eastAsiaTheme="majorEastAsia" w:hAnsi="Arial" w:cstheme="majorBidi"/>
          <w:bCs/>
          <w:sz w:val="24"/>
          <w:szCs w:val="24"/>
          <w:lang w:val="en-US"/>
        </w:rPr>
        <w:tab/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Community Organizations must apply in writing to the Community Services</w:t>
      </w:r>
      <w:r w:rsidR="00E22C29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Department prior to October 31st for events scheduled for the next calendar year.</w:t>
      </w:r>
    </w:p>
    <w:p w:rsidR="005868B8" w:rsidRPr="005868B8" w:rsidRDefault="005868B8" w:rsidP="00D91D35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</w:p>
    <w:p w:rsidR="005868B8" w:rsidRDefault="004717D6" w:rsidP="00D91D35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>
        <w:rPr>
          <w:rFonts w:ascii="Arial" w:eastAsiaTheme="majorEastAsia" w:hAnsi="Arial" w:cstheme="majorBidi"/>
          <w:bCs/>
          <w:sz w:val="24"/>
          <w:szCs w:val="24"/>
          <w:lang w:val="en-US"/>
        </w:rPr>
        <w:t>4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.04 </w:t>
      </w:r>
      <w:r w:rsidR="00B50D6B">
        <w:rPr>
          <w:rFonts w:ascii="Arial" w:eastAsiaTheme="majorEastAsia" w:hAnsi="Arial" w:cstheme="majorBidi"/>
          <w:bCs/>
          <w:sz w:val="24"/>
          <w:szCs w:val="24"/>
          <w:lang w:val="en-US"/>
        </w:rPr>
        <w:tab/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Only Milestone Special Events celebrating Quarter Century (25, 50, 75, 100, etc.)</w:t>
      </w:r>
      <w:r w:rsid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anniversaries will be considered eligible to receive funding.</w:t>
      </w:r>
    </w:p>
    <w:p w:rsidR="005868B8" w:rsidRPr="005868B8" w:rsidRDefault="005868B8" w:rsidP="00D91D35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</w:p>
    <w:p w:rsidR="005868B8" w:rsidRDefault="004717D6" w:rsidP="00D91D35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>
        <w:rPr>
          <w:rFonts w:ascii="Arial" w:eastAsiaTheme="majorEastAsia" w:hAnsi="Arial" w:cstheme="majorBidi"/>
          <w:bCs/>
          <w:sz w:val="24"/>
          <w:szCs w:val="24"/>
          <w:lang w:val="en-US"/>
        </w:rPr>
        <w:t>4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.05 </w:t>
      </w:r>
      <w:r w:rsidR="00B50D6B">
        <w:rPr>
          <w:rFonts w:ascii="Arial" w:eastAsiaTheme="majorEastAsia" w:hAnsi="Arial" w:cstheme="majorBidi"/>
          <w:bCs/>
          <w:sz w:val="24"/>
          <w:szCs w:val="24"/>
          <w:lang w:val="en-US"/>
        </w:rPr>
        <w:tab/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Only Milestone Special Events being planned and hosted by a not-for-profit</w:t>
      </w:r>
      <w:r w:rsidR="00E22C29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organization will be considered eligible. Commercial/retail anniversaries are not</w:t>
      </w:r>
      <w:r w:rsidR="00E22C29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eligible.</w:t>
      </w:r>
    </w:p>
    <w:p w:rsidR="005868B8" w:rsidRPr="005868B8" w:rsidRDefault="005868B8" w:rsidP="00D91D35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</w:p>
    <w:p w:rsidR="005868B8" w:rsidRDefault="004717D6" w:rsidP="00D91D35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>
        <w:rPr>
          <w:rFonts w:ascii="Arial" w:eastAsiaTheme="majorEastAsia" w:hAnsi="Arial" w:cstheme="majorBidi"/>
          <w:bCs/>
          <w:sz w:val="24"/>
          <w:szCs w:val="24"/>
          <w:lang w:val="en-US"/>
        </w:rPr>
        <w:t>4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.06 </w:t>
      </w:r>
      <w:r w:rsidR="00B50D6B">
        <w:rPr>
          <w:rFonts w:ascii="Arial" w:eastAsiaTheme="majorEastAsia" w:hAnsi="Arial" w:cstheme="majorBidi"/>
          <w:bCs/>
          <w:sz w:val="24"/>
          <w:szCs w:val="24"/>
          <w:lang w:val="en-US"/>
        </w:rPr>
        <w:tab/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Events which are being hosted with a purpose to generate a surplus revenue are</w:t>
      </w:r>
      <w:r w:rsid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not considered eligible to receive grant funding.</w:t>
      </w:r>
    </w:p>
    <w:p w:rsidR="005868B8" w:rsidRPr="005868B8" w:rsidRDefault="005868B8" w:rsidP="00D91D35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</w:p>
    <w:p w:rsidR="005868B8" w:rsidRDefault="004717D6" w:rsidP="00D91D35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>
        <w:rPr>
          <w:rFonts w:ascii="Arial" w:eastAsiaTheme="majorEastAsia" w:hAnsi="Arial" w:cstheme="majorBidi"/>
          <w:bCs/>
          <w:sz w:val="24"/>
          <w:szCs w:val="24"/>
          <w:lang w:val="en-US"/>
        </w:rPr>
        <w:t>4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.07 </w:t>
      </w:r>
      <w:r w:rsidR="00B50D6B">
        <w:rPr>
          <w:rFonts w:ascii="Arial" w:eastAsiaTheme="majorEastAsia" w:hAnsi="Arial" w:cstheme="majorBidi"/>
          <w:bCs/>
          <w:sz w:val="24"/>
          <w:szCs w:val="24"/>
          <w:lang w:val="en-US"/>
        </w:rPr>
        <w:tab/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Milestone Special Events are being hosted with the purpose of provision of a</w:t>
      </w:r>
      <w:r w:rsid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community based celebration for local residents.</w:t>
      </w:r>
    </w:p>
    <w:p w:rsidR="005868B8" w:rsidRPr="005868B8" w:rsidRDefault="005868B8" w:rsidP="00D91D35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</w:p>
    <w:p w:rsidR="005868B8" w:rsidRDefault="004717D6" w:rsidP="00D91D35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>
        <w:rPr>
          <w:rFonts w:ascii="Arial" w:eastAsiaTheme="majorEastAsia" w:hAnsi="Arial" w:cstheme="majorBidi"/>
          <w:bCs/>
          <w:sz w:val="24"/>
          <w:szCs w:val="24"/>
          <w:lang w:val="en-US"/>
        </w:rPr>
        <w:t>4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.08 </w:t>
      </w:r>
      <w:r w:rsidR="00B50D6B">
        <w:rPr>
          <w:rFonts w:ascii="Arial" w:eastAsiaTheme="majorEastAsia" w:hAnsi="Arial" w:cstheme="majorBidi"/>
          <w:bCs/>
          <w:sz w:val="24"/>
          <w:szCs w:val="24"/>
          <w:lang w:val="en-US"/>
        </w:rPr>
        <w:tab/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Food, wages, gifts, and cash prizes are not considered eligible expenses.</w:t>
      </w:r>
    </w:p>
    <w:p w:rsidR="005868B8" w:rsidRPr="005868B8" w:rsidRDefault="005868B8" w:rsidP="00D91D35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</w:p>
    <w:p w:rsidR="005868B8" w:rsidRDefault="004717D6" w:rsidP="00D91D35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>
        <w:rPr>
          <w:rFonts w:ascii="Arial" w:eastAsiaTheme="majorEastAsia" w:hAnsi="Arial" w:cstheme="majorBidi"/>
          <w:bCs/>
          <w:sz w:val="24"/>
          <w:szCs w:val="24"/>
          <w:lang w:val="en-US"/>
        </w:rPr>
        <w:t>4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.09 </w:t>
      </w:r>
      <w:r w:rsidR="00B50D6B">
        <w:rPr>
          <w:rFonts w:ascii="Arial" w:eastAsiaTheme="majorEastAsia" w:hAnsi="Arial" w:cstheme="majorBidi"/>
          <w:bCs/>
          <w:sz w:val="24"/>
          <w:szCs w:val="24"/>
          <w:lang w:val="en-US"/>
        </w:rPr>
        <w:tab/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The applicant must provide a detailed description of the proposed use of the</w:t>
      </w:r>
      <w:r w:rsidR="00E22C29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funds and the funds must be used for operating purposes only.</w:t>
      </w:r>
    </w:p>
    <w:p w:rsidR="005868B8" w:rsidRPr="005868B8" w:rsidRDefault="005868B8" w:rsidP="00D91D35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</w:p>
    <w:p w:rsidR="005868B8" w:rsidRDefault="004717D6" w:rsidP="00D91D35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>
        <w:rPr>
          <w:rFonts w:ascii="Arial" w:eastAsiaTheme="majorEastAsia" w:hAnsi="Arial" w:cstheme="majorBidi"/>
          <w:bCs/>
          <w:sz w:val="24"/>
          <w:szCs w:val="24"/>
          <w:lang w:val="en-US"/>
        </w:rPr>
        <w:t>4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.10 </w:t>
      </w:r>
      <w:r w:rsidR="00B50D6B">
        <w:rPr>
          <w:rFonts w:ascii="Arial" w:eastAsiaTheme="majorEastAsia" w:hAnsi="Arial" w:cstheme="majorBidi"/>
          <w:bCs/>
          <w:sz w:val="24"/>
          <w:szCs w:val="24"/>
          <w:lang w:val="en-US"/>
        </w:rPr>
        <w:tab/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All funds must be expended during the calendar year applied for or future year’s</w:t>
      </w:r>
      <w:r w:rsid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applications will not be considered eligible.</w:t>
      </w:r>
    </w:p>
    <w:p w:rsidR="005868B8" w:rsidRPr="005868B8" w:rsidRDefault="005868B8" w:rsidP="00D91D35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</w:p>
    <w:p w:rsidR="005868B8" w:rsidRDefault="004717D6" w:rsidP="00D91D35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>
        <w:rPr>
          <w:rFonts w:ascii="Arial" w:eastAsiaTheme="majorEastAsia" w:hAnsi="Arial" w:cstheme="majorBidi"/>
          <w:bCs/>
          <w:sz w:val="24"/>
          <w:szCs w:val="24"/>
          <w:lang w:val="en-US"/>
        </w:rPr>
        <w:t>4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.11 </w:t>
      </w:r>
      <w:r w:rsidR="00B50D6B">
        <w:rPr>
          <w:rFonts w:ascii="Arial" w:eastAsiaTheme="majorEastAsia" w:hAnsi="Arial" w:cstheme="majorBidi"/>
          <w:bCs/>
          <w:sz w:val="24"/>
          <w:szCs w:val="24"/>
          <w:lang w:val="en-US"/>
        </w:rPr>
        <w:tab/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A year-end accounting and summary of the project or initiative must be submitted</w:t>
      </w:r>
      <w:r w:rsid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to the Community Services Department by December 31st. Any event revenue</w:t>
      </w:r>
      <w:r w:rsid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deemed surplus at the time of reconciliation is to be returned to the City up to the</w:t>
      </w:r>
      <w:r w:rsid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maximum allocation of the initial grant.</w:t>
      </w:r>
    </w:p>
    <w:p w:rsidR="005868B8" w:rsidRPr="005868B8" w:rsidRDefault="005868B8" w:rsidP="00D91D35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</w:p>
    <w:p w:rsidR="005868B8" w:rsidRPr="005868B8" w:rsidRDefault="004717D6" w:rsidP="00D91D35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>
        <w:rPr>
          <w:rFonts w:ascii="Arial" w:eastAsiaTheme="majorEastAsia" w:hAnsi="Arial" w:cstheme="majorBidi"/>
          <w:bCs/>
          <w:sz w:val="24"/>
          <w:szCs w:val="24"/>
          <w:lang w:val="en-US"/>
        </w:rPr>
        <w:t>4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.12 </w:t>
      </w:r>
      <w:r w:rsidR="00B50D6B">
        <w:rPr>
          <w:rFonts w:ascii="Arial" w:eastAsiaTheme="majorEastAsia" w:hAnsi="Arial" w:cstheme="majorBidi"/>
          <w:bCs/>
          <w:sz w:val="24"/>
          <w:szCs w:val="24"/>
          <w:lang w:val="en-US"/>
        </w:rPr>
        <w:tab/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Proposals will be reviewed and authorized by the Director of Community</w:t>
      </w:r>
    </w:p>
    <w:p w:rsidR="005868B8" w:rsidRDefault="005868B8" w:rsidP="00E22C29">
      <w:pPr>
        <w:spacing w:after="0" w:line="240" w:lineRule="auto"/>
        <w:ind w:left="720" w:right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Services, or designate and reported on to Council for information purposes.</w:t>
      </w:r>
      <w:r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However, in the event there is more demand for a program than funds,</w:t>
      </w:r>
      <w:r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recommendations for the use of the funds will be made to Council.</w:t>
      </w:r>
    </w:p>
    <w:p w:rsidR="005868B8" w:rsidRPr="005868B8" w:rsidRDefault="005868B8" w:rsidP="00D91D35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</w:p>
    <w:p w:rsidR="00B22857" w:rsidRDefault="004717D6" w:rsidP="00D91D35">
      <w:pPr>
        <w:spacing w:after="0" w:line="240" w:lineRule="auto"/>
        <w:ind w:left="720" w:right="720" w:hanging="720"/>
        <w:rPr>
          <w:rFonts w:ascii="Arial" w:eastAsiaTheme="majorEastAsia" w:hAnsi="Arial" w:cstheme="majorBidi"/>
          <w:bCs/>
          <w:sz w:val="24"/>
          <w:szCs w:val="24"/>
          <w:lang w:val="en-US"/>
        </w:rPr>
      </w:pPr>
      <w:r>
        <w:rPr>
          <w:rFonts w:ascii="Arial" w:eastAsiaTheme="majorEastAsia" w:hAnsi="Arial" w:cstheme="majorBidi"/>
          <w:bCs/>
          <w:sz w:val="24"/>
          <w:szCs w:val="24"/>
          <w:lang w:val="en-US"/>
        </w:rPr>
        <w:t>4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.13 </w:t>
      </w:r>
      <w:r w:rsid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ab/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Program applicants are encouraged to seek any and all alternate sources of</w:t>
      </w:r>
      <w:r w:rsid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funding but are advised that application to this program precludes application to</w:t>
      </w:r>
      <w:r w:rsid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 xml:space="preserve"> </w:t>
      </w:r>
      <w:r w:rsidR="005868B8" w:rsidRPr="005868B8">
        <w:rPr>
          <w:rFonts w:ascii="Arial" w:eastAsiaTheme="majorEastAsia" w:hAnsi="Arial" w:cstheme="majorBidi"/>
          <w:bCs/>
          <w:sz w:val="24"/>
          <w:szCs w:val="24"/>
          <w:lang w:val="en-US"/>
        </w:rPr>
        <w:t>any other source of special event funding that may be provided by the City.</w:t>
      </w:r>
      <w:r w:rsidR="00B22857">
        <w:rPr>
          <w:rFonts w:ascii="Arial" w:eastAsiaTheme="majorEastAsia" w:hAnsi="Arial" w:cstheme="majorBidi"/>
          <w:bCs/>
          <w:sz w:val="24"/>
          <w:szCs w:val="24"/>
          <w:lang w:val="en-US"/>
        </w:rPr>
        <w:br w:type="page"/>
      </w:r>
    </w:p>
    <w:p w:rsidR="00014FB2" w:rsidRPr="00014FB2" w:rsidRDefault="00014FB2" w:rsidP="00014FB2">
      <w:pPr>
        <w:keepNext/>
        <w:keepLines/>
        <w:spacing w:before="240" w:after="240" w:line="240" w:lineRule="auto"/>
        <w:outlineLvl w:val="0"/>
        <w:rPr>
          <w:rFonts w:ascii="Arial" w:eastAsiaTheme="majorEastAsia" w:hAnsi="Arial" w:cstheme="majorBidi"/>
          <w:b/>
          <w:bCs/>
          <w:sz w:val="28"/>
          <w:szCs w:val="28"/>
          <w:lang w:val="en-US"/>
        </w:rPr>
      </w:pPr>
      <w:r w:rsidRPr="00014FB2">
        <w:rPr>
          <w:rFonts w:ascii="Arial" w:eastAsiaTheme="majorEastAsia" w:hAnsi="Arial" w:cstheme="majorBidi"/>
          <w:b/>
          <w:bCs/>
          <w:sz w:val="28"/>
          <w:szCs w:val="28"/>
          <w:lang w:val="en-US"/>
        </w:rPr>
        <w:lastRenderedPageBreak/>
        <w:t>Revision History:</w:t>
      </w:r>
    </w:p>
    <w:p w:rsidR="00014FB2" w:rsidRPr="00014FB2" w:rsidRDefault="00014FB2" w:rsidP="00014FB2">
      <w:pPr>
        <w:keepNext/>
        <w:spacing w:before="240" w:after="24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014FB2">
        <w:rPr>
          <w:rFonts w:ascii="Arial" w:eastAsia="Times New Roman" w:hAnsi="Arial" w:cs="Arial"/>
          <w:bCs/>
          <w:sz w:val="24"/>
          <w:szCs w:val="24"/>
          <w:lang w:val="en-US"/>
        </w:rPr>
        <w:t>Proposed Date of Review: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aption w:val="Table"/>
        <w:tblDescription w:val="Table outlining when the Management Directive was reviewed/amended."/>
      </w:tblPr>
      <w:tblGrid>
        <w:gridCol w:w="1217"/>
        <w:gridCol w:w="1123"/>
        <w:gridCol w:w="3933"/>
        <w:gridCol w:w="2160"/>
      </w:tblGrid>
      <w:tr w:rsidR="00014FB2" w:rsidRPr="00014FB2" w:rsidTr="008E0E02">
        <w:trPr>
          <w:trHeight w:val="485"/>
        </w:trPr>
        <w:tc>
          <w:tcPr>
            <w:tcW w:w="1217" w:type="dxa"/>
            <w:shd w:val="clear" w:color="auto" w:fill="auto"/>
            <w:vAlign w:val="center"/>
          </w:tcPr>
          <w:p w:rsidR="00014FB2" w:rsidRPr="00014FB2" w:rsidRDefault="00014FB2" w:rsidP="00014F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014FB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Revision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14FB2" w:rsidRPr="00014FB2" w:rsidRDefault="00014FB2" w:rsidP="00014F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014FB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014FB2" w:rsidRPr="00014FB2" w:rsidRDefault="00014FB2" w:rsidP="00014F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014FB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Description of changes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14FB2" w:rsidRPr="00014FB2" w:rsidRDefault="00014FB2" w:rsidP="00014F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014FB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Requested By</w:t>
            </w:r>
          </w:p>
        </w:tc>
      </w:tr>
      <w:tr w:rsidR="00014FB2" w:rsidRPr="00014FB2" w:rsidTr="008E0E02">
        <w:trPr>
          <w:trHeight w:val="432"/>
        </w:trPr>
        <w:tc>
          <w:tcPr>
            <w:tcW w:w="1217" w:type="dxa"/>
            <w:vAlign w:val="center"/>
          </w:tcPr>
          <w:p w:rsidR="00014FB2" w:rsidRPr="00014FB2" w:rsidRDefault="00014FB2" w:rsidP="00014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14FB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0.0</w:t>
            </w:r>
          </w:p>
        </w:tc>
        <w:tc>
          <w:tcPr>
            <w:tcW w:w="1123" w:type="dxa"/>
            <w:vAlign w:val="center"/>
          </w:tcPr>
          <w:p w:rsidR="00014FB2" w:rsidRPr="00014FB2" w:rsidRDefault="00B22857" w:rsidP="00014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April 24, 2018</w:t>
            </w:r>
          </w:p>
        </w:tc>
        <w:tc>
          <w:tcPr>
            <w:tcW w:w="3933" w:type="dxa"/>
            <w:vAlign w:val="center"/>
          </w:tcPr>
          <w:p w:rsidR="00014FB2" w:rsidRPr="00014FB2" w:rsidRDefault="00B22857" w:rsidP="00014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Initial Release</w:t>
            </w:r>
          </w:p>
        </w:tc>
        <w:tc>
          <w:tcPr>
            <w:tcW w:w="2160" w:type="dxa"/>
            <w:vAlign w:val="center"/>
          </w:tcPr>
          <w:p w:rsidR="00014FB2" w:rsidRPr="00014FB2" w:rsidRDefault="00014FB2" w:rsidP="00014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014FB2" w:rsidRPr="00014FB2" w:rsidTr="008E0E02">
        <w:trPr>
          <w:trHeight w:val="432"/>
        </w:trPr>
        <w:tc>
          <w:tcPr>
            <w:tcW w:w="1217" w:type="dxa"/>
            <w:vAlign w:val="center"/>
          </w:tcPr>
          <w:p w:rsidR="00014FB2" w:rsidRPr="00014FB2" w:rsidRDefault="00C21A02" w:rsidP="00014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1.0</w:t>
            </w:r>
          </w:p>
        </w:tc>
        <w:tc>
          <w:tcPr>
            <w:tcW w:w="1123" w:type="dxa"/>
            <w:vAlign w:val="center"/>
          </w:tcPr>
          <w:p w:rsidR="00014FB2" w:rsidRPr="00014FB2" w:rsidRDefault="00B22857" w:rsidP="00014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Aug. 9, 2016</w:t>
            </w:r>
          </w:p>
        </w:tc>
        <w:tc>
          <w:tcPr>
            <w:tcW w:w="3933" w:type="dxa"/>
            <w:vAlign w:val="center"/>
          </w:tcPr>
          <w:p w:rsidR="00014FB2" w:rsidRPr="00014FB2" w:rsidRDefault="00B22857" w:rsidP="00014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City wide allocation, Culture maximum funding, multi year </w:t>
            </w:r>
            <w:r w:rsidR="00F016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initiatives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removed</w:t>
            </w:r>
          </w:p>
        </w:tc>
        <w:tc>
          <w:tcPr>
            <w:tcW w:w="2160" w:type="dxa"/>
            <w:vAlign w:val="center"/>
          </w:tcPr>
          <w:p w:rsidR="00014FB2" w:rsidRPr="00014FB2" w:rsidRDefault="00B22857" w:rsidP="00014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Shelley Cooper</w:t>
            </w:r>
          </w:p>
        </w:tc>
      </w:tr>
      <w:tr w:rsidR="00014FB2" w:rsidRPr="00014FB2" w:rsidTr="008E0E02">
        <w:trPr>
          <w:trHeight w:val="432"/>
        </w:trPr>
        <w:tc>
          <w:tcPr>
            <w:tcW w:w="1217" w:type="dxa"/>
            <w:vAlign w:val="center"/>
          </w:tcPr>
          <w:p w:rsidR="00014FB2" w:rsidRPr="00014FB2" w:rsidRDefault="00B22857" w:rsidP="00014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2.0</w:t>
            </w:r>
          </w:p>
        </w:tc>
        <w:tc>
          <w:tcPr>
            <w:tcW w:w="1123" w:type="dxa"/>
            <w:vAlign w:val="center"/>
          </w:tcPr>
          <w:p w:rsidR="00014FB2" w:rsidRPr="00014FB2" w:rsidRDefault="00B22857" w:rsidP="00014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Aug 3, 2023</w:t>
            </w:r>
          </w:p>
        </w:tc>
        <w:tc>
          <w:tcPr>
            <w:tcW w:w="3933" w:type="dxa"/>
            <w:vAlign w:val="center"/>
          </w:tcPr>
          <w:p w:rsidR="00014FB2" w:rsidRPr="00014FB2" w:rsidRDefault="00B22857" w:rsidP="00014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Eligibility update</w:t>
            </w:r>
          </w:p>
        </w:tc>
        <w:tc>
          <w:tcPr>
            <w:tcW w:w="2160" w:type="dxa"/>
            <w:vAlign w:val="center"/>
          </w:tcPr>
          <w:p w:rsidR="00014FB2" w:rsidRPr="00014FB2" w:rsidRDefault="00B22857" w:rsidP="00014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Shelley Cooper</w:t>
            </w:r>
          </w:p>
        </w:tc>
      </w:tr>
      <w:tr w:rsidR="00014FB2" w:rsidRPr="00014FB2" w:rsidTr="008E0E02">
        <w:trPr>
          <w:trHeight w:val="432"/>
        </w:trPr>
        <w:tc>
          <w:tcPr>
            <w:tcW w:w="1217" w:type="dxa"/>
            <w:vAlign w:val="center"/>
          </w:tcPr>
          <w:p w:rsidR="00014FB2" w:rsidRPr="00014FB2" w:rsidRDefault="00B22857" w:rsidP="00402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3.0</w:t>
            </w:r>
          </w:p>
        </w:tc>
        <w:tc>
          <w:tcPr>
            <w:tcW w:w="1123" w:type="dxa"/>
            <w:vAlign w:val="center"/>
          </w:tcPr>
          <w:p w:rsidR="00014FB2" w:rsidRPr="00014FB2" w:rsidRDefault="00B22857" w:rsidP="00014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Aug 14, 2025</w:t>
            </w:r>
          </w:p>
        </w:tc>
        <w:tc>
          <w:tcPr>
            <w:tcW w:w="3933" w:type="dxa"/>
            <w:vAlign w:val="center"/>
          </w:tcPr>
          <w:p w:rsidR="00014FB2" w:rsidRPr="00014FB2" w:rsidRDefault="00B22857" w:rsidP="00565F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Culture stream removed</w:t>
            </w:r>
            <w:r w:rsidR="008825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from CPDF program</w:t>
            </w:r>
          </w:p>
        </w:tc>
        <w:tc>
          <w:tcPr>
            <w:tcW w:w="2160" w:type="dxa"/>
            <w:vAlign w:val="center"/>
          </w:tcPr>
          <w:p w:rsidR="00014FB2" w:rsidRPr="00014FB2" w:rsidRDefault="00B22857" w:rsidP="00014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Shelley Cooper</w:t>
            </w:r>
          </w:p>
        </w:tc>
      </w:tr>
      <w:tr w:rsidR="00014FB2" w:rsidRPr="00014FB2" w:rsidTr="008E0E02">
        <w:trPr>
          <w:trHeight w:val="432"/>
        </w:trPr>
        <w:tc>
          <w:tcPr>
            <w:tcW w:w="1217" w:type="dxa"/>
            <w:vAlign w:val="center"/>
          </w:tcPr>
          <w:p w:rsidR="00014FB2" w:rsidRPr="00014FB2" w:rsidRDefault="00014FB2" w:rsidP="00014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23" w:type="dxa"/>
            <w:vAlign w:val="center"/>
          </w:tcPr>
          <w:p w:rsidR="00014FB2" w:rsidRPr="00014FB2" w:rsidRDefault="00014FB2" w:rsidP="00014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33" w:type="dxa"/>
            <w:vAlign w:val="center"/>
          </w:tcPr>
          <w:p w:rsidR="00014FB2" w:rsidRPr="00014FB2" w:rsidRDefault="00014FB2" w:rsidP="00014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014FB2" w:rsidRPr="00014FB2" w:rsidRDefault="00014FB2" w:rsidP="00014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014FB2" w:rsidRPr="00014FB2" w:rsidTr="008E0E02">
        <w:trPr>
          <w:trHeight w:val="432"/>
        </w:trPr>
        <w:tc>
          <w:tcPr>
            <w:tcW w:w="1217" w:type="dxa"/>
            <w:vAlign w:val="center"/>
          </w:tcPr>
          <w:p w:rsidR="00014FB2" w:rsidRPr="00014FB2" w:rsidRDefault="00014FB2" w:rsidP="00014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23" w:type="dxa"/>
            <w:vAlign w:val="center"/>
          </w:tcPr>
          <w:p w:rsidR="00014FB2" w:rsidRPr="00014FB2" w:rsidRDefault="00014FB2" w:rsidP="00014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33" w:type="dxa"/>
            <w:vAlign w:val="center"/>
          </w:tcPr>
          <w:p w:rsidR="00014FB2" w:rsidRPr="00014FB2" w:rsidRDefault="00014FB2" w:rsidP="00014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014FB2" w:rsidRPr="00014FB2" w:rsidRDefault="00014FB2" w:rsidP="00014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014FB2" w:rsidRPr="00014FB2" w:rsidTr="008E0E02">
        <w:trPr>
          <w:trHeight w:val="432"/>
        </w:trPr>
        <w:tc>
          <w:tcPr>
            <w:tcW w:w="1217" w:type="dxa"/>
            <w:vAlign w:val="center"/>
          </w:tcPr>
          <w:p w:rsidR="00014FB2" w:rsidRPr="00014FB2" w:rsidRDefault="00014FB2" w:rsidP="00014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23" w:type="dxa"/>
            <w:vAlign w:val="center"/>
          </w:tcPr>
          <w:p w:rsidR="00014FB2" w:rsidRPr="00014FB2" w:rsidRDefault="00014FB2" w:rsidP="00014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33" w:type="dxa"/>
            <w:vAlign w:val="center"/>
          </w:tcPr>
          <w:p w:rsidR="00014FB2" w:rsidRPr="00014FB2" w:rsidRDefault="00014FB2" w:rsidP="00014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014FB2" w:rsidRPr="00014FB2" w:rsidRDefault="00014FB2" w:rsidP="00014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</w:tbl>
    <w:p w:rsidR="00331815" w:rsidRPr="00B614C0" w:rsidRDefault="00331815" w:rsidP="00A1408B">
      <w:pPr>
        <w:rPr>
          <w:rFonts w:ascii="Arial" w:hAnsi="Arial" w:cs="Arial"/>
          <w:sz w:val="24"/>
          <w:szCs w:val="24"/>
        </w:rPr>
      </w:pPr>
    </w:p>
    <w:sectPr w:rsidR="00331815" w:rsidRPr="00B614C0" w:rsidSect="00E469BB">
      <w:headerReference w:type="default" r:id="rId12"/>
      <w:footerReference w:type="default" r:id="rId13"/>
      <w:pgSz w:w="12240" w:h="15840"/>
      <w:pgMar w:top="171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DFC" w:rsidRDefault="000B5DFC" w:rsidP="00014FB2">
      <w:pPr>
        <w:spacing w:after="0" w:line="240" w:lineRule="auto"/>
      </w:pPr>
      <w:r>
        <w:separator/>
      </w:r>
    </w:p>
  </w:endnote>
  <w:endnote w:type="continuationSeparator" w:id="0">
    <w:p w:rsidR="000B5DFC" w:rsidRDefault="000B5DFC" w:rsidP="0001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05698006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E58E8" w:rsidRPr="004E03C9" w:rsidRDefault="000E58E8" w:rsidP="004E03C9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MD2018-</w:t>
            </w:r>
            <w:r w:rsidR="00DF0784">
              <w:rPr>
                <w:rFonts w:ascii="Arial" w:hAnsi="Arial" w:cs="Arial"/>
                <w:sz w:val="20"/>
                <w:szCs w:val="20"/>
              </w:rPr>
              <w:t xml:space="preserve">005 Community Partnership and Development Fund </w:t>
            </w:r>
            <w:r>
              <w:rPr>
                <w:rFonts w:ascii="Arial" w:hAnsi="Arial" w:cs="Arial"/>
                <w:sz w:val="20"/>
                <w:szCs w:val="20"/>
              </w:rPr>
              <w:t>Management Directive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E03C9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4E03C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E03C9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4E03C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D5139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4E03C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E03C9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4E03C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E03C9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4E03C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D5139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4E03C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DFC" w:rsidRDefault="000B5DFC" w:rsidP="00014FB2">
      <w:pPr>
        <w:spacing w:after="0" w:line="240" w:lineRule="auto"/>
      </w:pPr>
      <w:r>
        <w:separator/>
      </w:r>
    </w:p>
  </w:footnote>
  <w:footnote w:type="continuationSeparator" w:id="0">
    <w:p w:rsidR="000B5DFC" w:rsidRDefault="000B5DFC" w:rsidP="00014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E8" w:rsidRDefault="00012071" w:rsidP="00014FB2">
    <w:pPr>
      <w:tabs>
        <w:tab w:val="center" w:pos="4320"/>
        <w:tab w:val="left" w:pos="7524"/>
        <w:tab w:val="right" w:pos="8640"/>
      </w:tabs>
      <w:spacing w:after="0" w:line="240" w:lineRule="auto"/>
      <w:rPr>
        <w:rFonts w:ascii="Arial" w:eastAsia="Times New Roman" w:hAnsi="Arial" w:cs="Arial"/>
        <w:b/>
        <w:noProof/>
        <w:sz w:val="44"/>
        <w:szCs w:val="44"/>
        <w:lang w:eastAsia="en-CA"/>
      </w:rPr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70EDBD88" wp14:editId="70EDBD89">
          <wp:simplePos x="0" y="0"/>
          <wp:positionH relativeFrom="column">
            <wp:posOffset>3943350</wp:posOffset>
          </wp:positionH>
          <wp:positionV relativeFrom="paragraph">
            <wp:posOffset>-142875</wp:posOffset>
          </wp:positionV>
          <wp:extent cx="1938528" cy="768096"/>
          <wp:effectExtent l="0" t="0" r="508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L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528" cy="768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58E8" w:rsidRPr="00014FB2">
      <w:rPr>
        <w:rFonts w:ascii="Arial" w:eastAsia="Times New Roman" w:hAnsi="Arial" w:cs="Arial"/>
        <w:b/>
        <w:noProof/>
        <w:sz w:val="44"/>
        <w:szCs w:val="44"/>
        <w:lang w:eastAsia="en-CA"/>
      </w:rPr>
      <w:t>Management Directive</w:t>
    </w:r>
  </w:p>
  <w:p w:rsidR="00E469BB" w:rsidRDefault="00E469BB" w:rsidP="00014FB2">
    <w:pPr>
      <w:tabs>
        <w:tab w:val="center" w:pos="4320"/>
        <w:tab w:val="left" w:pos="7524"/>
        <w:tab w:val="right" w:pos="8640"/>
      </w:tabs>
      <w:spacing w:after="0" w:line="240" w:lineRule="auto"/>
      <w:rPr>
        <w:rFonts w:ascii="Arial" w:eastAsia="Times New Roman" w:hAnsi="Arial" w:cs="Arial"/>
        <w:b/>
        <w:noProof/>
        <w:sz w:val="44"/>
        <w:szCs w:val="44"/>
        <w:lang w:eastAsia="en-CA"/>
      </w:rPr>
    </w:pPr>
  </w:p>
  <w:p w:rsidR="00E469BB" w:rsidRPr="00014FB2" w:rsidRDefault="00E469BB" w:rsidP="00014FB2">
    <w:pPr>
      <w:tabs>
        <w:tab w:val="center" w:pos="4320"/>
        <w:tab w:val="left" w:pos="7524"/>
        <w:tab w:val="right" w:pos="8640"/>
      </w:tabs>
      <w:spacing w:after="0" w:line="240" w:lineRule="auto"/>
      <w:rPr>
        <w:rFonts w:ascii="Arial" w:eastAsia="Times New Roman" w:hAnsi="Arial" w:cs="Arial"/>
        <w:b/>
        <w:noProof/>
        <w:sz w:val="44"/>
        <w:szCs w:val="44"/>
        <w:lang w:eastAsia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6248"/>
    <w:multiLevelType w:val="multilevel"/>
    <w:tmpl w:val="83CCB26A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247F5787"/>
    <w:multiLevelType w:val="hybridMultilevel"/>
    <w:tmpl w:val="51269F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B122E"/>
    <w:multiLevelType w:val="multilevel"/>
    <w:tmpl w:val="3A5E908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EE53D02"/>
    <w:multiLevelType w:val="hybridMultilevel"/>
    <w:tmpl w:val="53009AC2"/>
    <w:lvl w:ilvl="0" w:tplc="1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79783889"/>
    <w:multiLevelType w:val="multilevel"/>
    <w:tmpl w:val="32BA8A80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B2"/>
    <w:rsid w:val="00012071"/>
    <w:rsid w:val="00014FB2"/>
    <w:rsid w:val="00023B49"/>
    <w:rsid w:val="00025B96"/>
    <w:rsid w:val="00046004"/>
    <w:rsid w:val="000511E6"/>
    <w:rsid w:val="00071F9F"/>
    <w:rsid w:val="00091A7E"/>
    <w:rsid w:val="000B5DFC"/>
    <w:rsid w:val="000C4963"/>
    <w:rsid w:val="000E4A7D"/>
    <w:rsid w:val="000E58E8"/>
    <w:rsid w:val="000F3478"/>
    <w:rsid w:val="00100625"/>
    <w:rsid w:val="00105D8E"/>
    <w:rsid w:val="00155259"/>
    <w:rsid w:val="00167B54"/>
    <w:rsid w:val="00184C9B"/>
    <w:rsid w:val="001B5057"/>
    <w:rsid w:val="001C63C3"/>
    <w:rsid w:val="00256888"/>
    <w:rsid w:val="00263989"/>
    <w:rsid w:val="0026732B"/>
    <w:rsid w:val="00290607"/>
    <w:rsid w:val="002C1AA6"/>
    <w:rsid w:val="00330987"/>
    <w:rsid w:val="00331815"/>
    <w:rsid w:val="00365033"/>
    <w:rsid w:val="0038493F"/>
    <w:rsid w:val="00385720"/>
    <w:rsid w:val="003A0FBF"/>
    <w:rsid w:val="003C5080"/>
    <w:rsid w:val="003E1C6D"/>
    <w:rsid w:val="003F21CE"/>
    <w:rsid w:val="003F2349"/>
    <w:rsid w:val="00402B90"/>
    <w:rsid w:val="0042385F"/>
    <w:rsid w:val="00426230"/>
    <w:rsid w:val="004717D6"/>
    <w:rsid w:val="00486FFA"/>
    <w:rsid w:val="004E03C9"/>
    <w:rsid w:val="004F64EB"/>
    <w:rsid w:val="00514CA6"/>
    <w:rsid w:val="00515EC0"/>
    <w:rsid w:val="00551E2F"/>
    <w:rsid w:val="00556689"/>
    <w:rsid w:val="00565FE5"/>
    <w:rsid w:val="005868B8"/>
    <w:rsid w:val="00596F50"/>
    <w:rsid w:val="005D1F91"/>
    <w:rsid w:val="005E27F0"/>
    <w:rsid w:val="005E5447"/>
    <w:rsid w:val="006104C6"/>
    <w:rsid w:val="006134AE"/>
    <w:rsid w:val="00626A8C"/>
    <w:rsid w:val="00656D0F"/>
    <w:rsid w:val="00672F55"/>
    <w:rsid w:val="006A2872"/>
    <w:rsid w:val="006B535E"/>
    <w:rsid w:val="006C5241"/>
    <w:rsid w:val="006D5647"/>
    <w:rsid w:val="0070074D"/>
    <w:rsid w:val="0071188C"/>
    <w:rsid w:val="00715794"/>
    <w:rsid w:val="007221DF"/>
    <w:rsid w:val="00725255"/>
    <w:rsid w:val="00732530"/>
    <w:rsid w:val="00781515"/>
    <w:rsid w:val="00781649"/>
    <w:rsid w:val="00797A4B"/>
    <w:rsid w:val="007B1CE5"/>
    <w:rsid w:val="007C6061"/>
    <w:rsid w:val="007D076B"/>
    <w:rsid w:val="007D702E"/>
    <w:rsid w:val="007F354B"/>
    <w:rsid w:val="007F6A7E"/>
    <w:rsid w:val="0080167D"/>
    <w:rsid w:val="008027AA"/>
    <w:rsid w:val="00830341"/>
    <w:rsid w:val="008433DD"/>
    <w:rsid w:val="008501D2"/>
    <w:rsid w:val="00866D40"/>
    <w:rsid w:val="008825CF"/>
    <w:rsid w:val="00897D24"/>
    <w:rsid w:val="008B0AA8"/>
    <w:rsid w:val="008B0D2B"/>
    <w:rsid w:val="008D55EB"/>
    <w:rsid w:val="008E0E02"/>
    <w:rsid w:val="008F5AC8"/>
    <w:rsid w:val="008F79CC"/>
    <w:rsid w:val="009274AB"/>
    <w:rsid w:val="00962225"/>
    <w:rsid w:val="00962491"/>
    <w:rsid w:val="00994DA2"/>
    <w:rsid w:val="009A23A0"/>
    <w:rsid w:val="009D6427"/>
    <w:rsid w:val="009D6D86"/>
    <w:rsid w:val="009E200B"/>
    <w:rsid w:val="009F74EC"/>
    <w:rsid w:val="00A0003A"/>
    <w:rsid w:val="00A01A53"/>
    <w:rsid w:val="00A120C2"/>
    <w:rsid w:val="00A1408B"/>
    <w:rsid w:val="00A15AFE"/>
    <w:rsid w:val="00A162EC"/>
    <w:rsid w:val="00A31E24"/>
    <w:rsid w:val="00A56C7A"/>
    <w:rsid w:val="00A57E4E"/>
    <w:rsid w:val="00A66B52"/>
    <w:rsid w:val="00A71D6C"/>
    <w:rsid w:val="00A73BC5"/>
    <w:rsid w:val="00AA5C57"/>
    <w:rsid w:val="00AA5D61"/>
    <w:rsid w:val="00AA5EBC"/>
    <w:rsid w:val="00AD15FB"/>
    <w:rsid w:val="00AD23ED"/>
    <w:rsid w:val="00AD5139"/>
    <w:rsid w:val="00B0600A"/>
    <w:rsid w:val="00B1058F"/>
    <w:rsid w:val="00B22857"/>
    <w:rsid w:val="00B2289A"/>
    <w:rsid w:val="00B26049"/>
    <w:rsid w:val="00B42204"/>
    <w:rsid w:val="00B43260"/>
    <w:rsid w:val="00B47F16"/>
    <w:rsid w:val="00B50D6B"/>
    <w:rsid w:val="00B614C0"/>
    <w:rsid w:val="00B71684"/>
    <w:rsid w:val="00BA27AF"/>
    <w:rsid w:val="00BF4A29"/>
    <w:rsid w:val="00BF7345"/>
    <w:rsid w:val="00C21A02"/>
    <w:rsid w:val="00C30125"/>
    <w:rsid w:val="00C331D7"/>
    <w:rsid w:val="00C4079C"/>
    <w:rsid w:val="00C41BFF"/>
    <w:rsid w:val="00C4391A"/>
    <w:rsid w:val="00C45AAA"/>
    <w:rsid w:val="00C46BEE"/>
    <w:rsid w:val="00C65DC1"/>
    <w:rsid w:val="00CA22BD"/>
    <w:rsid w:val="00CB7D8A"/>
    <w:rsid w:val="00CC1736"/>
    <w:rsid w:val="00CE25F8"/>
    <w:rsid w:val="00CE6E87"/>
    <w:rsid w:val="00D21CF3"/>
    <w:rsid w:val="00D228EB"/>
    <w:rsid w:val="00D26EFB"/>
    <w:rsid w:val="00D401FA"/>
    <w:rsid w:val="00D76884"/>
    <w:rsid w:val="00D91D35"/>
    <w:rsid w:val="00D958D1"/>
    <w:rsid w:val="00DF0784"/>
    <w:rsid w:val="00DF21EA"/>
    <w:rsid w:val="00E22C29"/>
    <w:rsid w:val="00E469BB"/>
    <w:rsid w:val="00E942DD"/>
    <w:rsid w:val="00EB0149"/>
    <w:rsid w:val="00F00570"/>
    <w:rsid w:val="00F016EC"/>
    <w:rsid w:val="00F30AD7"/>
    <w:rsid w:val="00F72874"/>
    <w:rsid w:val="00F82B93"/>
    <w:rsid w:val="00FC78F2"/>
    <w:rsid w:val="00FD3D41"/>
    <w:rsid w:val="00FD70F8"/>
    <w:rsid w:val="00FE21A3"/>
    <w:rsid w:val="00FF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7A4E01-E8C8-43AD-AADF-E12BF884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FB2"/>
  </w:style>
  <w:style w:type="paragraph" w:styleId="Footer">
    <w:name w:val="footer"/>
    <w:basedOn w:val="Normal"/>
    <w:link w:val="FooterChar"/>
    <w:uiPriority w:val="99"/>
    <w:unhideWhenUsed/>
    <w:rsid w:val="00014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FB2"/>
  </w:style>
  <w:style w:type="paragraph" w:styleId="BalloonText">
    <w:name w:val="Balloon Text"/>
    <w:basedOn w:val="Normal"/>
    <w:link w:val="BalloonTextChar"/>
    <w:uiPriority w:val="99"/>
    <w:semiHidden/>
    <w:unhideWhenUsed/>
    <w:rsid w:val="00014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F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14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1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52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52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52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2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24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91A7E"/>
    <w:rPr>
      <w:color w:val="0563C1"/>
      <w:u w:val="single"/>
    </w:rPr>
  </w:style>
  <w:style w:type="paragraph" w:styleId="Revision">
    <w:name w:val="Revision"/>
    <w:hidden/>
    <w:uiPriority w:val="99"/>
    <w:semiHidden/>
    <w:rsid w:val="004717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RMYear xmlns="b44db830-4673-485e-a6b6-759026e9ec8d">2025</EDRMYear>
    <Document_x0020_Type xmlns="d93c931e-5517-490f-a5b5-041b6ce490f5">Package &amp; Policies</Document_x0020_Type>
    <Category xmlns="d93c931e-5517-490f-a5b5-041b6ce490f5">Ice Rentals</Category>
    <Facility xmlns="e63dacc3-515c-4cce-91e5-d3c507c5e648" xsi:nil="true"/>
    <TaxCatchAll xmlns="e63dacc3-515c-4cce-91e5-d3c507c5e648" xsi:nil="true"/>
    <Area xmlns="e63dacc3-515c-4cce-91e5-d3c507c5e648" xsi:nil="true"/>
    <EDRMMonth xmlns="e63dacc3-515c-4cce-91e5-d3c507c5e648" xsi:nil="true"/>
    <Label xmlns="b44db830-4673-485e-a6b6-759026e9ec8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acility Booking" ma:contentTypeID="0x01010048CFD5B4EDE24B4A8220D13FA3C3485A000420D949A6120243A18FF542C642933B003912F02D8C976143A6D368A10970C722001CA242279164A148B1719F10E1DACF2A" ma:contentTypeVersion="41" ma:contentTypeDescription="Create a new document." ma:contentTypeScope="" ma:versionID="ca92b7db9ec1761312e6a3b3514a2ba6">
  <xsd:schema xmlns:xsd="http://www.w3.org/2001/XMLSchema" xmlns:xs="http://www.w3.org/2001/XMLSchema" xmlns:p="http://schemas.microsoft.com/office/2006/metadata/properties" xmlns:ns2="b44db830-4673-485e-a6b6-759026e9ec8d" xmlns:ns3="e63dacc3-515c-4cce-91e5-d3c507c5e648" xmlns:ns4="d93c931e-5517-490f-a5b5-041b6ce490f5" targetNamespace="http://schemas.microsoft.com/office/2006/metadata/properties" ma:root="true" ma:fieldsID="ca103b39b9f6e79ac62a7bae478731ae" ns2:_="" ns3:_="" ns4:_="">
    <xsd:import namespace="b44db830-4673-485e-a6b6-759026e9ec8d"/>
    <xsd:import namespace="e63dacc3-515c-4cce-91e5-d3c507c5e648"/>
    <xsd:import namespace="d93c931e-5517-490f-a5b5-041b6ce490f5"/>
    <xsd:element name="properties">
      <xsd:complexType>
        <xsd:sequence>
          <xsd:element name="documentManagement">
            <xsd:complexType>
              <xsd:all>
                <xsd:element ref="ns2:EDRMYear"/>
                <xsd:element ref="ns3:EDRMMonth" minOccurs="0"/>
                <xsd:element ref="ns3:Area" minOccurs="0"/>
                <xsd:element ref="ns4:Category" minOccurs="0"/>
                <xsd:element ref="ns4:Document_x0020_Type" minOccurs="0"/>
                <xsd:element ref="ns3:Facility" minOccurs="0"/>
                <xsd:element ref="ns4:MediaServiceDateTaken" minOccurs="0"/>
                <xsd:element ref="ns2:Label" minOccurs="0"/>
                <xsd:element ref="ns4:MediaServiceMetadata" minOccurs="0"/>
                <xsd:element ref="ns4:MediaServiceFastMetadata" minOccurs="0"/>
                <xsd:element ref="ns3:TaxCatchAll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db830-4673-485e-a6b6-759026e9ec8d" elementFormDefault="qualified">
    <xsd:import namespace="http://schemas.microsoft.com/office/2006/documentManagement/types"/>
    <xsd:import namespace="http://schemas.microsoft.com/office/infopath/2007/PartnerControls"/>
    <xsd:element name="EDRMYear" ma:index="2" ma:displayName="Year" ma:indexed="true" ma:internalName="EDRMYear" ma:readOnly="false">
      <xsd:simpleType>
        <xsd:restriction base="dms:Text">
          <xsd:maxLength value="4"/>
        </xsd:restriction>
      </xsd:simpleType>
    </xsd:element>
    <xsd:element name="Label" ma:index="12" nillable="true" ma:displayName="Label" ma:hidden="true" ma:internalName="Label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dacc3-515c-4cce-91e5-d3c507c5e648" elementFormDefault="qualified">
    <xsd:import namespace="http://schemas.microsoft.com/office/2006/documentManagement/types"/>
    <xsd:import namespace="http://schemas.microsoft.com/office/infopath/2007/PartnerControls"/>
    <xsd:element name="EDRMMonth" ma:index="3" nillable="true" ma:displayName="Month" ma:format="Dropdown" ma:indexed="true" ma:internalName="EDRMMonth" ma:readOnly="false">
      <xsd:simpleType>
        <xsd:restriction base="dms:Choice">
          <xsd:enumeration value="01 - January"/>
          <xsd:enumeration value="02 - February"/>
          <xsd:enumeration value="03 - March"/>
          <xsd:enumeration value="04 - April"/>
          <xsd:enumeration value="05 - May"/>
          <xsd:enumeration value="06 - June"/>
          <xsd:enumeration value="07 - July"/>
          <xsd:enumeration value="08 - August"/>
          <xsd:enumeration value="09 - September"/>
          <xsd:enumeration value="10 - October"/>
          <xsd:enumeration value="11 - November"/>
          <xsd:enumeration value="12 - December"/>
        </xsd:restriction>
      </xsd:simpleType>
    </xsd:element>
    <xsd:element name="Area" ma:index="4" nillable="true" ma:displayName="Area" ma:format="Dropdown" ma:indexed="true" ma:internalName="Area" ma:readOnly="false">
      <xsd:simpleType>
        <xsd:restriction base="dms:Choice">
          <xsd:enumeration value="Central"/>
          <xsd:enumeration value="North"/>
          <xsd:enumeration value="South"/>
        </xsd:restriction>
      </xsd:simpleType>
    </xsd:element>
    <xsd:element name="Facility" ma:index="7" nillable="true" ma:displayName="Facility" ma:format="Dropdown" ma:indexed="true" ma:internalName="Facility" ma:readOnly="false">
      <xsd:simpleType>
        <xsd:restriction base="dms:Choice">
          <xsd:enumeration value="Baddow Community Centre"/>
          <xsd:enumeration value="Bobcaygeon Community Centre"/>
          <xsd:enumeration value="Bolsover Community Centre"/>
          <xsd:enumeration value="Burnt River/Somerville Community Centre"/>
          <xsd:enumeration value="Carden Recreation Centre"/>
          <xsd:enumeration value="Coboconk Community Hall"/>
          <xsd:enumeration value="Coboconk Train Station"/>
          <xsd:enumeration value="Coronation Hall"/>
          <xsd:enumeration value="Dalton Community Centre"/>
          <xsd:enumeration value="Emily/Omemee Community Centre"/>
          <xsd:enumeration value="Fenelon Falls Community Centre"/>
          <xsd:enumeration value="Fenelon Township Community Centre"/>
          <xsd:enumeration value="Janetville Community Centre"/>
          <xsd:enumeration value="Kinmount Community Centre"/>
          <xsd:enumeration value="Little Britain Community Centre"/>
          <xsd:enumeration value="Lindsay Recreation Complex"/>
          <xsd:enumeration value="Manvers Community Centre"/>
          <xsd:enumeration value="Norland Old School Hall Community Centre"/>
          <xsd:enumeration value="Norland Recreation Centre"/>
          <xsd:enumeration value="Oakwood Community Centre"/>
          <xsd:enumeration value="Palestine Community Centre"/>
          <xsd:enumeration value="Victoria Park Armoury"/>
          <xsd:enumeration value="Woodville Community Centre"/>
          <xsd:enumeration value="Woodville Town Hall"/>
        </xsd:restriction>
      </xsd:simpleType>
    </xsd:element>
    <xsd:element name="TaxCatchAll" ma:index="18" nillable="true" ma:displayName="Taxonomy Catch All Column" ma:hidden="true" ma:list="{0f09a05b-9d41-445f-bb47-642bd2e71b10}" ma:internalName="TaxCatchAll" ma:showField="CatchAllData" ma:web="e63dacc3-515c-4cce-91e5-d3c507c5e6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c931e-5517-490f-a5b5-041b6ce490f5" elementFormDefault="qualified">
    <xsd:import namespace="http://schemas.microsoft.com/office/2006/documentManagement/types"/>
    <xsd:import namespace="http://schemas.microsoft.com/office/infopath/2007/PartnerControls"/>
    <xsd:element name="Category" ma:index="5" nillable="true" ma:displayName="Category" ma:format="Dropdown" ma:indexed="true" ma:internalName="Category" ma:readOnly="false">
      <xsd:simpleType>
        <xsd:restriction base="dms:Choice">
          <xsd:enumeration value="Arena Floors"/>
          <xsd:enumeration value="Athletic Field Rentals"/>
          <xsd:enumeration value="Canteens"/>
          <xsd:enumeration value="Entandem"/>
          <xsd:enumeration value="Hall Rentals"/>
          <xsd:enumeration value="Ice Rentals"/>
          <xsd:enumeration value="Insurance Reports"/>
          <xsd:enumeration value="Park Rentals"/>
          <xsd:enumeration value="Pools"/>
          <xsd:enumeration value="Yearly Renewals"/>
        </xsd:restriction>
      </xsd:simpleType>
    </xsd:element>
    <xsd:element name="Document_x0020_Type" ma:index="6" nillable="true" ma:displayName="Document Type" ma:format="Dropdown" ma:indexed="true" ma:internalName="Document_x0020_Type" ma:readOnly="false">
      <xsd:simpleType>
        <xsd:restriction base="dms:Choice">
          <xsd:enumeration value="Covid Protocols"/>
          <xsd:enumeration value="Field Request"/>
          <xsd:enumeration value="Hall Calendar"/>
          <xsd:enumeration value="Spring/Summer Ice Request"/>
          <xsd:enumeration value="Fall/Winter Ice Request"/>
          <xsd:enumeration value="Information Sheets"/>
          <xsd:enumeration value="Insurance Forms"/>
          <xsd:enumeration value="Old Requests"/>
          <xsd:enumeration value="Package &amp; Policies"/>
        </xsd:restriction>
      </xsd:simpleType>
    </xsd:element>
    <xsd:element name="MediaServiceDateTaken" ma:index="11" nillable="true" ma:displayName="MediaServiceDateTaken" ma:description="" ma:internalName="MediaServiceDateTaken" ma:readOnly="true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?mso-contentType ?>
<SharedContentType xmlns="Microsoft.SharePoint.Taxonomy.ContentTypeSync" SourceId="1fa6c4bd-5ac8-48bb-90b6-d9ad665a7d7a" ContentTypeId="0x01010048CFD5B4EDE24B4A8220D13FA3C3485A000420D949A6120243A18FF542C642933B" PreviousValue="false" LastSyncTimeStamp="2023-01-19T19:17:16.797Z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4DA12-52C5-4078-867F-DC89088F27DC}">
  <ds:schemaRefs>
    <ds:schemaRef ds:uri="http://schemas.microsoft.com/office/2006/metadata/properties"/>
    <ds:schemaRef ds:uri="http://schemas.microsoft.com/office/infopath/2007/PartnerControls"/>
    <ds:schemaRef ds:uri="b44db830-4673-485e-a6b6-759026e9ec8d"/>
    <ds:schemaRef ds:uri="d93c931e-5517-490f-a5b5-041b6ce490f5"/>
    <ds:schemaRef ds:uri="e63dacc3-515c-4cce-91e5-d3c507c5e648"/>
  </ds:schemaRefs>
</ds:datastoreItem>
</file>

<file path=customXml/itemProps2.xml><?xml version="1.0" encoding="utf-8"?>
<ds:datastoreItem xmlns:ds="http://schemas.openxmlformats.org/officeDocument/2006/customXml" ds:itemID="{71637FE6-8801-41DC-A244-9B079FDCD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4db830-4673-485e-a6b6-759026e9ec8d"/>
    <ds:schemaRef ds:uri="e63dacc3-515c-4cce-91e5-d3c507c5e648"/>
    <ds:schemaRef ds:uri="d93c931e-5517-490f-a5b5-041b6ce49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45ADE3-6E29-46C4-BF86-9FDE6BA3DA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5DA294-5683-40C6-841A-3012FA5E17B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58BCC9F-A3FE-4AC7-B324-E437E2A29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 Facility Allocation Management Directive Draft</vt:lpstr>
    </vt:vector>
  </TitlesOfParts>
  <Company>City of Kawartha Lakes</Company>
  <LinksUpToDate>false</LinksUpToDate>
  <CharactersWithSpaces>12506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 Facility Allocation Management Directive Draft</dc:title>
  <dc:creator>Sarah O'Connell</dc:creator>
  <cp:lastModifiedBy>Meaghan McGowan</cp:lastModifiedBy>
  <cp:revision>2</cp:revision>
  <cp:lastPrinted>2023-11-22T15:59:00Z</cp:lastPrinted>
  <dcterms:created xsi:type="dcterms:W3CDTF">2025-09-17T15:32:00Z</dcterms:created>
  <dcterms:modified xsi:type="dcterms:W3CDTF">2025-09-17T15:32:00Z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0x01010048CFD5B4EDE24B4A8220D13FA3C3485A000420D949A6120243A18FF542C642933B003912F02D8C976143A6D368A10970C722001CA242279164A148B1719F10E1DACF2A</vt:lpwstr>
  </property>
  <property fmtid="{D5CDD505-2E9C-101B-9397-08002B2CF9AE}" pid="3" name="Sensitivity">
    <vt:lpwstr>Open</vt:lpwstr>
  </property>
  <property fmtid="{D5CDD505-2E9C-101B-9397-08002B2CF9AE}" pid="4" name="COKL Report Status">
    <vt:lpwstr>Development</vt:lpwstr>
  </property>
  <property fmtid="{D5CDD505-2E9C-101B-9397-08002B2CF9AE}" pid="5" name="Submitted Date">
    <vt:filetime>2017-05-01T15:08:39Z</vt:filetime>
  </property>
  <property fmtid="{D5CDD505-2E9C-101B-9397-08002B2CF9AE}" pid="6" name="_dlc_DocIdItemGuid">
    <vt:lpwstr>487ae7a4-b69a-4b7e-b7c1-2090dfc432d4</vt:lpwstr>
  </property>
  <property fmtid="{D5CDD505-2E9C-101B-9397-08002B2CF9AE}" pid="7" name="MediaServiceImageTags">
    <vt:lpwstr/>
  </property>
  <property fmtid="{D5CDD505-2E9C-101B-9397-08002B2CF9AE}" pid="8" name="lcf76f155ced4ddcb4097134ff3c332f">
    <vt:lpwstr/>
  </property>
</Properties>
</file>