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243EB3" w14:paraId="7A618CDE" w14:textId="77777777" w:rsidTr="00822E03">
        <w:trPr>
          <w:trHeight w:val="521"/>
        </w:trPr>
        <w:tc>
          <w:tcPr>
            <w:tcW w:w="4695" w:type="dxa"/>
            <w:vAlign w:val="center"/>
          </w:tcPr>
          <w:p w14:paraId="2BFBF90E" w14:textId="77777777" w:rsidR="00243EB3" w:rsidRDefault="00243EB3" w:rsidP="00243EB3">
            <w:pPr>
              <w:rPr>
                <w:rFonts w:cs="Arial"/>
              </w:rPr>
            </w:pPr>
            <w:r w:rsidRPr="00677D1E">
              <w:rPr>
                <w:rFonts w:cs="Arial"/>
              </w:rPr>
              <w:t>Council Policy No.:</w:t>
            </w:r>
          </w:p>
        </w:tc>
        <w:tc>
          <w:tcPr>
            <w:tcW w:w="4655" w:type="dxa"/>
          </w:tcPr>
          <w:p w14:paraId="1B19BB78" w14:textId="46273F29" w:rsidR="00243EB3" w:rsidRDefault="00DE653E" w:rsidP="00243EB3">
            <w:pPr>
              <w:rPr>
                <w:rFonts w:cs="Arial"/>
              </w:rPr>
            </w:pPr>
            <w:r>
              <w:t>CP2021-018 (formerly CP2017-005)</w:t>
            </w:r>
          </w:p>
        </w:tc>
      </w:tr>
      <w:tr w:rsidR="00243EB3" w14:paraId="6291EB1E" w14:textId="77777777" w:rsidTr="00822E03">
        <w:trPr>
          <w:trHeight w:val="539"/>
        </w:trPr>
        <w:tc>
          <w:tcPr>
            <w:tcW w:w="4695" w:type="dxa"/>
            <w:vAlign w:val="center"/>
          </w:tcPr>
          <w:p w14:paraId="0B661251" w14:textId="77777777" w:rsidR="00243EB3" w:rsidRDefault="00243EB3" w:rsidP="00243EB3">
            <w:pPr>
              <w:rPr>
                <w:rFonts w:cs="Arial"/>
              </w:rPr>
            </w:pPr>
            <w:r w:rsidRPr="00677D1E">
              <w:rPr>
                <w:rFonts w:cs="Arial"/>
              </w:rPr>
              <w:t>Council Policy Name:</w:t>
            </w:r>
          </w:p>
        </w:tc>
        <w:tc>
          <w:tcPr>
            <w:tcW w:w="4655" w:type="dxa"/>
          </w:tcPr>
          <w:p w14:paraId="4D8634D1" w14:textId="25C0BE34" w:rsidR="00243EB3" w:rsidRDefault="00243EB3" w:rsidP="00243EB3">
            <w:pPr>
              <w:rPr>
                <w:rFonts w:cs="Arial"/>
              </w:rPr>
            </w:pPr>
            <w:r w:rsidRPr="003728FE">
              <w:t>Financial Management Policy</w:t>
            </w:r>
          </w:p>
        </w:tc>
      </w:tr>
      <w:tr w:rsidR="00243EB3" w14:paraId="42569A58" w14:textId="77777777" w:rsidTr="00822E03">
        <w:trPr>
          <w:trHeight w:val="530"/>
        </w:trPr>
        <w:tc>
          <w:tcPr>
            <w:tcW w:w="4695" w:type="dxa"/>
            <w:vAlign w:val="center"/>
          </w:tcPr>
          <w:p w14:paraId="12F5D26A" w14:textId="77777777" w:rsidR="00243EB3" w:rsidRDefault="00243EB3" w:rsidP="00243EB3">
            <w:pPr>
              <w:rPr>
                <w:rFonts w:cs="Arial"/>
              </w:rPr>
            </w:pPr>
            <w:r w:rsidRPr="00677D1E">
              <w:rPr>
                <w:rFonts w:cs="Arial"/>
              </w:rPr>
              <w:t>Date Approved by Council:</w:t>
            </w:r>
          </w:p>
        </w:tc>
        <w:tc>
          <w:tcPr>
            <w:tcW w:w="4655" w:type="dxa"/>
          </w:tcPr>
          <w:p w14:paraId="462FB153" w14:textId="3481BAC5" w:rsidR="00243EB3" w:rsidRDefault="00243EB3" w:rsidP="00243EB3">
            <w:pPr>
              <w:rPr>
                <w:rFonts w:cs="Arial"/>
              </w:rPr>
            </w:pPr>
            <w:r w:rsidRPr="003728FE">
              <w:t>April 18, 2017</w:t>
            </w:r>
          </w:p>
        </w:tc>
      </w:tr>
      <w:tr w:rsidR="00243EB3" w14:paraId="59B74F8F" w14:textId="77777777" w:rsidTr="00822E03">
        <w:trPr>
          <w:trHeight w:val="530"/>
        </w:trPr>
        <w:tc>
          <w:tcPr>
            <w:tcW w:w="4695" w:type="dxa"/>
            <w:vAlign w:val="center"/>
          </w:tcPr>
          <w:p w14:paraId="0F6C028E" w14:textId="77777777" w:rsidR="00243EB3" w:rsidRDefault="00243EB3" w:rsidP="00243EB3">
            <w:pPr>
              <w:rPr>
                <w:rFonts w:cs="Arial"/>
              </w:rPr>
            </w:pPr>
            <w:r w:rsidRPr="00677D1E">
              <w:rPr>
                <w:rFonts w:cs="Arial"/>
              </w:rPr>
              <w:t>Date revision approved by Council:</w:t>
            </w:r>
          </w:p>
        </w:tc>
        <w:tc>
          <w:tcPr>
            <w:tcW w:w="4655" w:type="dxa"/>
          </w:tcPr>
          <w:p w14:paraId="15431558" w14:textId="2BA9FB47" w:rsidR="00243EB3" w:rsidRDefault="00DE653E" w:rsidP="00243EB3">
            <w:pPr>
              <w:rPr>
                <w:rFonts w:cs="Arial"/>
              </w:rPr>
            </w:pPr>
            <w:r>
              <w:rPr>
                <w:rFonts w:cs="Arial"/>
              </w:rPr>
              <w:t>April 20, 2021</w:t>
            </w:r>
            <w:r>
              <w:rPr>
                <w:rFonts w:cs="Arial"/>
              </w:rPr>
              <w:br/>
              <w:t>CW2021-095/CR2021-195</w:t>
            </w:r>
          </w:p>
        </w:tc>
      </w:tr>
      <w:tr w:rsidR="00243EB3" w14:paraId="1AE59D39" w14:textId="77777777" w:rsidTr="00037E1A">
        <w:trPr>
          <w:trHeight w:val="770"/>
        </w:trPr>
        <w:tc>
          <w:tcPr>
            <w:tcW w:w="4695" w:type="dxa"/>
            <w:vAlign w:val="center"/>
          </w:tcPr>
          <w:p w14:paraId="687410E4" w14:textId="77777777" w:rsidR="00243EB3" w:rsidRDefault="00243EB3" w:rsidP="00243EB3">
            <w:pPr>
              <w:rPr>
                <w:rFonts w:cs="Arial"/>
              </w:rPr>
            </w:pPr>
            <w:r w:rsidRPr="00677D1E">
              <w:rPr>
                <w:rFonts w:cs="Arial"/>
              </w:rPr>
              <w:t>Related SOP, Management Directive, Council Policy, Forms</w:t>
            </w:r>
          </w:p>
        </w:tc>
        <w:tc>
          <w:tcPr>
            <w:tcW w:w="4655" w:type="dxa"/>
          </w:tcPr>
          <w:p w14:paraId="2F6C4F30" w14:textId="0988B74D" w:rsidR="00243EB3" w:rsidRDefault="00243EB3" w:rsidP="00243EB3">
            <w:pPr>
              <w:spacing w:before="0" w:after="0"/>
              <w:rPr>
                <w:rFonts w:cs="Arial"/>
              </w:rPr>
            </w:pPr>
            <w:r w:rsidRPr="003728FE">
              <w:t>Financial Management Directive</w:t>
            </w: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5CA865A3" w14:textId="77777777" w:rsidR="00243EB3" w:rsidRPr="00243EB3" w:rsidRDefault="00243EB3" w:rsidP="00243EB3">
      <w:pPr>
        <w:overflowPunct w:val="0"/>
        <w:autoSpaceDE w:val="0"/>
        <w:autoSpaceDN w:val="0"/>
        <w:adjustRightInd w:val="0"/>
        <w:textAlignment w:val="baseline"/>
        <w:rPr>
          <w:rFonts w:cs="Arial"/>
          <w:bCs/>
          <w:lang w:val="en-GB"/>
        </w:rPr>
      </w:pPr>
      <w:r w:rsidRPr="00243EB3">
        <w:rPr>
          <w:rFonts w:cs="Arial"/>
          <w:bCs/>
          <w:lang w:val="en-GB"/>
        </w:rPr>
        <w:t>The Corporation of the City of Kawartha Lakes is committed to providing the effective and efficient use of financial resources to ensure that financial assets are safeguarded from loss, used to generate the highest rate of return and that practices around securing debt instruments provide the best financing terms available for the Municipality.</w:t>
      </w:r>
    </w:p>
    <w:p w14:paraId="2F06FA63" w14:textId="1163B639" w:rsidR="00B12CB8" w:rsidRPr="006C6658" w:rsidRDefault="0090099E" w:rsidP="00C44751">
      <w:pPr>
        <w:pStyle w:val="Heading1"/>
      </w:pPr>
      <w:r w:rsidRPr="00B12CB8">
        <w:t>Scope:</w:t>
      </w:r>
    </w:p>
    <w:p w14:paraId="1A1EFC09" w14:textId="28937CA7" w:rsidR="00243EB3" w:rsidRDefault="00243EB3" w:rsidP="00243EB3">
      <w:pPr>
        <w:overflowPunct w:val="0"/>
        <w:autoSpaceDE w:val="0"/>
        <w:autoSpaceDN w:val="0"/>
        <w:adjustRightInd w:val="0"/>
        <w:textAlignment w:val="baseline"/>
        <w:rPr>
          <w:rFonts w:cs="Arial"/>
          <w:bCs/>
        </w:rPr>
      </w:pPr>
      <w:r w:rsidRPr="00243EB3">
        <w:rPr>
          <w:rFonts w:cs="Arial"/>
          <w:bCs/>
        </w:rPr>
        <w:t>This policy will apply to all City Employees responsible for the control, administration and management of the Corporation’s surplus funds, investment portfolio and debt management.</w:t>
      </w:r>
    </w:p>
    <w:p w14:paraId="69A24F12" w14:textId="77777777" w:rsidR="00243EB3" w:rsidRPr="00243EB3" w:rsidRDefault="00243EB3" w:rsidP="00243EB3">
      <w:pPr>
        <w:pStyle w:val="Heading2"/>
      </w:pPr>
      <w:r w:rsidRPr="00243EB3">
        <w:t>Definitions:</w:t>
      </w:r>
    </w:p>
    <w:p w14:paraId="12C0532A" w14:textId="77777777" w:rsidR="00243EB3" w:rsidRPr="00243EB3" w:rsidRDefault="00243EB3" w:rsidP="00243EB3">
      <w:pPr>
        <w:overflowPunct w:val="0"/>
        <w:autoSpaceDE w:val="0"/>
        <w:autoSpaceDN w:val="0"/>
        <w:adjustRightInd w:val="0"/>
        <w:textAlignment w:val="baseline"/>
        <w:rPr>
          <w:rFonts w:cs="Arial"/>
          <w:snapToGrid w:val="0"/>
          <w:lang w:val="en-CA"/>
        </w:rPr>
      </w:pPr>
      <w:r w:rsidRPr="00243EB3">
        <w:rPr>
          <w:rFonts w:cs="Arial"/>
          <w:b/>
          <w:snapToGrid w:val="0"/>
          <w:lang w:val="en-CA"/>
        </w:rPr>
        <w:t>Diversification</w:t>
      </w:r>
      <w:r w:rsidRPr="00243EB3">
        <w:rPr>
          <w:rFonts w:cs="Arial"/>
          <w:snapToGrid w:val="0"/>
          <w:lang w:val="en-CA"/>
        </w:rPr>
        <w:t>: a process of investing assets among a range of security types by sector.</w:t>
      </w:r>
    </w:p>
    <w:p w14:paraId="77431BC4" w14:textId="77777777" w:rsidR="00243EB3" w:rsidRPr="00243EB3" w:rsidRDefault="00243EB3" w:rsidP="00243EB3">
      <w:pPr>
        <w:overflowPunct w:val="0"/>
        <w:autoSpaceDE w:val="0"/>
        <w:autoSpaceDN w:val="0"/>
        <w:adjustRightInd w:val="0"/>
        <w:textAlignment w:val="baseline"/>
        <w:rPr>
          <w:rFonts w:cs="Arial"/>
          <w:snapToGrid w:val="0"/>
          <w:lang w:val="en-CA"/>
        </w:rPr>
      </w:pPr>
      <w:r w:rsidRPr="00243EB3">
        <w:rPr>
          <w:rFonts w:cs="Arial"/>
          <w:b/>
          <w:snapToGrid w:val="0"/>
          <w:lang w:val="en-CA"/>
        </w:rPr>
        <w:t>Liquidity</w:t>
      </w:r>
      <w:r w:rsidRPr="00243EB3">
        <w:rPr>
          <w:rFonts w:cs="Arial"/>
          <w:snapToGrid w:val="0"/>
          <w:lang w:val="en-CA"/>
        </w:rPr>
        <w:t>: a measure of an asset’s convertibility to cash.</w:t>
      </w:r>
    </w:p>
    <w:p w14:paraId="648D202B" w14:textId="77777777" w:rsidR="00243EB3" w:rsidRPr="00243EB3" w:rsidRDefault="00243EB3" w:rsidP="00243EB3">
      <w:pPr>
        <w:overflowPunct w:val="0"/>
        <w:autoSpaceDE w:val="0"/>
        <w:autoSpaceDN w:val="0"/>
        <w:adjustRightInd w:val="0"/>
        <w:textAlignment w:val="baseline"/>
        <w:rPr>
          <w:rFonts w:cs="Arial"/>
          <w:snapToGrid w:val="0"/>
          <w:lang w:val="en-CA"/>
        </w:rPr>
      </w:pPr>
      <w:r w:rsidRPr="00243EB3">
        <w:rPr>
          <w:rFonts w:cs="Arial"/>
          <w:b/>
          <w:snapToGrid w:val="0"/>
          <w:lang w:val="en-CA"/>
        </w:rPr>
        <w:t>Market Value</w:t>
      </w:r>
      <w:r w:rsidRPr="00243EB3">
        <w:rPr>
          <w:rFonts w:cs="Arial"/>
          <w:snapToGrid w:val="0"/>
          <w:lang w:val="en-CA"/>
        </w:rPr>
        <w:t>: current market price of a security.</w:t>
      </w:r>
    </w:p>
    <w:p w14:paraId="1517F61A" w14:textId="77777777" w:rsidR="00243EB3" w:rsidRPr="00243EB3" w:rsidRDefault="00243EB3" w:rsidP="00243EB3">
      <w:pPr>
        <w:overflowPunct w:val="0"/>
        <w:autoSpaceDE w:val="0"/>
        <w:autoSpaceDN w:val="0"/>
        <w:adjustRightInd w:val="0"/>
        <w:textAlignment w:val="baseline"/>
        <w:rPr>
          <w:rFonts w:cs="Arial"/>
          <w:snapToGrid w:val="0"/>
          <w:lang w:val="en-CA"/>
        </w:rPr>
      </w:pPr>
      <w:r w:rsidRPr="00243EB3">
        <w:rPr>
          <w:rFonts w:cs="Arial"/>
          <w:b/>
          <w:snapToGrid w:val="0"/>
          <w:lang w:val="en-CA"/>
        </w:rPr>
        <w:t>Prudent Person Rule</w:t>
      </w:r>
      <w:r w:rsidRPr="00243EB3">
        <w:rPr>
          <w:rFonts w:cs="Arial"/>
          <w:snapToGrid w:val="0"/>
          <w:lang w:val="en-CA"/>
        </w:rPr>
        <w:t>: an investment standard outlining the fiduciary responsibilities relating to the investment practices of public fund investors.</w:t>
      </w:r>
    </w:p>
    <w:p w14:paraId="53490D2D" w14:textId="77777777" w:rsidR="00243EB3" w:rsidRPr="00243EB3" w:rsidRDefault="00243EB3" w:rsidP="00243EB3">
      <w:pPr>
        <w:overflowPunct w:val="0"/>
        <w:autoSpaceDE w:val="0"/>
        <w:autoSpaceDN w:val="0"/>
        <w:adjustRightInd w:val="0"/>
        <w:textAlignment w:val="baseline"/>
        <w:rPr>
          <w:rFonts w:cs="Arial"/>
          <w:snapToGrid w:val="0"/>
          <w:lang w:val="en-CA"/>
        </w:rPr>
      </w:pPr>
      <w:r w:rsidRPr="00243EB3">
        <w:rPr>
          <w:rFonts w:cs="Arial"/>
          <w:b/>
          <w:snapToGrid w:val="0"/>
          <w:lang w:val="en-CA"/>
        </w:rPr>
        <w:lastRenderedPageBreak/>
        <w:t>Safekeeping</w:t>
      </w:r>
      <w:r w:rsidRPr="00243EB3">
        <w:rPr>
          <w:rFonts w:cs="Arial"/>
          <w:snapToGrid w:val="0"/>
          <w:lang w:val="en-CA"/>
        </w:rPr>
        <w:t>: holding of assets (e.g., securities) by a financial institution.</w:t>
      </w:r>
    </w:p>
    <w:p w14:paraId="32CBD348" w14:textId="4E7DF5B0" w:rsidR="0090099E" w:rsidRDefault="0090099E" w:rsidP="00243EB3">
      <w:pPr>
        <w:pStyle w:val="Heading1"/>
      </w:pPr>
      <w:r w:rsidRPr="0090099E">
        <w:t>Policy:</w:t>
      </w:r>
    </w:p>
    <w:p w14:paraId="4288D168" w14:textId="7266EC84" w:rsidR="00243EB3" w:rsidRPr="00243EB3" w:rsidRDefault="00243EB3" w:rsidP="00243EB3">
      <w:pPr>
        <w:pStyle w:val="Heading2"/>
      </w:pPr>
      <w:r>
        <w:t>1.</w:t>
      </w:r>
      <w:r>
        <w:tab/>
      </w:r>
      <w:r w:rsidRPr="00243EB3">
        <w:t>General Principles:</w:t>
      </w:r>
    </w:p>
    <w:p w14:paraId="15D6592D" w14:textId="77777777" w:rsidR="00243EB3" w:rsidRPr="00243EB3" w:rsidRDefault="00243EB3" w:rsidP="00243EB3">
      <w:pPr>
        <w:numPr>
          <w:ilvl w:val="1"/>
          <w:numId w:val="12"/>
        </w:numPr>
        <w:overflowPunct w:val="0"/>
        <w:autoSpaceDE w:val="0"/>
        <w:autoSpaceDN w:val="0"/>
        <w:adjustRightInd w:val="0"/>
        <w:ind w:left="720" w:hanging="720"/>
        <w:textAlignment w:val="baseline"/>
        <w:rPr>
          <w:rFonts w:cs="Arial"/>
          <w:snapToGrid w:val="0"/>
          <w:lang w:val="en-CA"/>
        </w:rPr>
      </w:pPr>
      <w:r w:rsidRPr="00243EB3">
        <w:rPr>
          <w:rFonts w:cs="Arial"/>
          <w:snapToGrid w:val="0"/>
          <w:lang w:val="en-CA"/>
        </w:rPr>
        <w:t>The objectives of the Investment Program shall ensure adherence to statutory requirements; Preservation of capital; maintaining liquidity; and earning a competitive rate of return.</w:t>
      </w:r>
    </w:p>
    <w:p w14:paraId="5B27D762" w14:textId="77777777" w:rsidR="00243EB3" w:rsidRPr="00243EB3" w:rsidRDefault="00243EB3" w:rsidP="00243EB3">
      <w:pPr>
        <w:numPr>
          <w:ilvl w:val="1"/>
          <w:numId w:val="12"/>
        </w:numPr>
        <w:overflowPunct w:val="0"/>
        <w:autoSpaceDE w:val="0"/>
        <w:autoSpaceDN w:val="0"/>
        <w:adjustRightInd w:val="0"/>
        <w:ind w:left="720" w:hanging="720"/>
        <w:textAlignment w:val="baseline"/>
        <w:rPr>
          <w:rFonts w:cs="Arial"/>
          <w:snapToGrid w:val="0"/>
          <w:lang w:val="en-CA"/>
        </w:rPr>
      </w:pPr>
      <w:r w:rsidRPr="00243EB3">
        <w:rPr>
          <w:rFonts w:cs="Arial"/>
          <w:snapToGrid w:val="0"/>
          <w:lang w:val="en-CA"/>
        </w:rPr>
        <w:t>All investment activities shall be governed by the Municipal Act as amended.</w:t>
      </w:r>
    </w:p>
    <w:p w14:paraId="227EA1BF" w14:textId="77777777" w:rsidR="00243EB3" w:rsidRPr="00243EB3" w:rsidRDefault="00243EB3" w:rsidP="00243EB3">
      <w:pPr>
        <w:numPr>
          <w:ilvl w:val="1"/>
          <w:numId w:val="12"/>
        </w:numPr>
        <w:overflowPunct w:val="0"/>
        <w:autoSpaceDE w:val="0"/>
        <w:autoSpaceDN w:val="0"/>
        <w:adjustRightInd w:val="0"/>
        <w:ind w:left="720" w:hanging="720"/>
        <w:textAlignment w:val="baseline"/>
        <w:rPr>
          <w:rFonts w:cs="Arial"/>
          <w:snapToGrid w:val="0"/>
          <w:lang w:val="en-CA"/>
        </w:rPr>
      </w:pPr>
      <w:r w:rsidRPr="00243EB3">
        <w:rPr>
          <w:rFonts w:cs="Arial"/>
          <w:snapToGrid w:val="0"/>
          <w:lang w:val="en-CA"/>
        </w:rPr>
        <w:t>Investments will be those deemed eligible under Provincial legislation.</w:t>
      </w:r>
    </w:p>
    <w:p w14:paraId="6F0FD960" w14:textId="77777777" w:rsidR="00243EB3" w:rsidRPr="00243EB3" w:rsidRDefault="00243EB3" w:rsidP="00243EB3">
      <w:pPr>
        <w:numPr>
          <w:ilvl w:val="1"/>
          <w:numId w:val="12"/>
        </w:numPr>
        <w:overflowPunct w:val="0"/>
        <w:autoSpaceDE w:val="0"/>
        <w:autoSpaceDN w:val="0"/>
        <w:adjustRightInd w:val="0"/>
        <w:ind w:left="720" w:hanging="720"/>
        <w:textAlignment w:val="baseline"/>
        <w:rPr>
          <w:rFonts w:cs="Arial"/>
          <w:snapToGrid w:val="0"/>
          <w:lang w:val="en-CA"/>
        </w:rPr>
      </w:pPr>
      <w:r w:rsidRPr="00243EB3">
        <w:rPr>
          <w:rFonts w:cs="Arial"/>
          <w:snapToGrid w:val="0"/>
          <w:lang w:val="en-CA"/>
        </w:rPr>
        <w:t>Investing activities shall be made with judgement and care and follow the Prudent Person Rule.</w:t>
      </w:r>
    </w:p>
    <w:p w14:paraId="4E133288" w14:textId="77777777" w:rsidR="00243EB3" w:rsidRPr="00243EB3" w:rsidRDefault="00243EB3" w:rsidP="00243EB3">
      <w:pPr>
        <w:numPr>
          <w:ilvl w:val="1"/>
          <w:numId w:val="12"/>
        </w:numPr>
        <w:overflowPunct w:val="0"/>
        <w:autoSpaceDE w:val="0"/>
        <w:autoSpaceDN w:val="0"/>
        <w:adjustRightInd w:val="0"/>
        <w:ind w:left="720" w:hanging="720"/>
        <w:textAlignment w:val="baseline"/>
        <w:rPr>
          <w:rFonts w:cs="Arial"/>
          <w:snapToGrid w:val="0"/>
          <w:lang w:val="en-CA"/>
        </w:rPr>
      </w:pPr>
      <w:r w:rsidRPr="00243EB3">
        <w:rPr>
          <w:rFonts w:cs="Arial"/>
          <w:snapToGrid w:val="0"/>
          <w:lang w:val="en-CA"/>
        </w:rPr>
        <w:t>Officers and employees involved in the investment process shall refrain from personal business activity that could conflict with the proper execution and management of the investment program, or that could impair their ability to make impartial decisions.</w:t>
      </w:r>
    </w:p>
    <w:p w14:paraId="51867295" w14:textId="77777777" w:rsidR="00243EB3" w:rsidRPr="00243EB3" w:rsidRDefault="00243EB3" w:rsidP="00243EB3">
      <w:pPr>
        <w:numPr>
          <w:ilvl w:val="1"/>
          <w:numId w:val="12"/>
        </w:numPr>
        <w:overflowPunct w:val="0"/>
        <w:autoSpaceDE w:val="0"/>
        <w:autoSpaceDN w:val="0"/>
        <w:adjustRightInd w:val="0"/>
        <w:ind w:left="720" w:hanging="720"/>
        <w:textAlignment w:val="baseline"/>
        <w:rPr>
          <w:rFonts w:cs="Arial"/>
          <w:snapToGrid w:val="0"/>
          <w:lang w:val="en-CA"/>
        </w:rPr>
      </w:pPr>
      <w:r w:rsidRPr="00243EB3">
        <w:rPr>
          <w:rFonts w:cs="Arial"/>
          <w:snapToGrid w:val="0"/>
          <w:lang w:val="en-CA"/>
        </w:rPr>
        <w:t>An annual investment report shall be submitted to Council.</w:t>
      </w:r>
    </w:p>
    <w:p w14:paraId="2DE69C8A" w14:textId="77777777" w:rsidR="00243EB3" w:rsidRPr="00243EB3" w:rsidRDefault="00243EB3" w:rsidP="00243EB3">
      <w:pPr>
        <w:numPr>
          <w:ilvl w:val="1"/>
          <w:numId w:val="12"/>
        </w:numPr>
        <w:overflowPunct w:val="0"/>
        <w:autoSpaceDE w:val="0"/>
        <w:autoSpaceDN w:val="0"/>
        <w:adjustRightInd w:val="0"/>
        <w:ind w:left="720" w:hanging="720"/>
        <w:textAlignment w:val="baseline"/>
        <w:rPr>
          <w:rFonts w:cs="Arial"/>
          <w:snapToGrid w:val="0"/>
          <w:lang w:val="en-CA"/>
        </w:rPr>
      </w:pPr>
      <w:r w:rsidRPr="00243EB3">
        <w:rPr>
          <w:rFonts w:cs="Arial"/>
          <w:snapToGrid w:val="0"/>
          <w:lang w:val="en-CA"/>
        </w:rPr>
        <w:t>The Investment portfolio shall obtain a market average rate of return consistent with the investment practices of the City and applicable legislation.</w:t>
      </w:r>
    </w:p>
    <w:p w14:paraId="03102EE1" w14:textId="77777777" w:rsidR="00243EB3" w:rsidRPr="00243EB3" w:rsidRDefault="00243EB3" w:rsidP="00243EB3">
      <w:pPr>
        <w:numPr>
          <w:ilvl w:val="1"/>
          <w:numId w:val="12"/>
        </w:numPr>
        <w:overflowPunct w:val="0"/>
        <w:autoSpaceDE w:val="0"/>
        <w:autoSpaceDN w:val="0"/>
        <w:adjustRightInd w:val="0"/>
        <w:ind w:left="720" w:hanging="720"/>
        <w:textAlignment w:val="baseline"/>
        <w:rPr>
          <w:rFonts w:cs="Arial"/>
          <w:snapToGrid w:val="0"/>
          <w:lang w:val="en-CA"/>
        </w:rPr>
      </w:pPr>
      <w:r w:rsidRPr="00243EB3">
        <w:rPr>
          <w:rFonts w:cs="Arial"/>
          <w:snapToGrid w:val="0"/>
          <w:lang w:val="en-CA"/>
        </w:rPr>
        <w:t>The market value of the portfolio shall be calculated on an annual basis.</w:t>
      </w:r>
    </w:p>
    <w:p w14:paraId="1EE331ED" w14:textId="77777777" w:rsidR="00243EB3" w:rsidRPr="00243EB3" w:rsidRDefault="00243EB3" w:rsidP="00243EB3">
      <w:pPr>
        <w:numPr>
          <w:ilvl w:val="1"/>
          <w:numId w:val="12"/>
        </w:numPr>
        <w:overflowPunct w:val="0"/>
        <w:autoSpaceDE w:val="0"/>
        <w:autoSpaceDN w:val="0"/>
        <w:adjustRightInd w:val="0"/>
        <w:ind w:left="720" w:hanging="720"/>
        <w:textAlignment w:val="baseline"/>
        <w:rPr>
          <w:rFonts w:cs="Arial"/>
          <w:snapToGrid w:val="0"/>
          <w:lang w:val="en-CA"/>
        </w:rPr>
      </w:pPr>
      <w:r w:rsidRPr="00243EB3">
        <w:rPr>
          <w:rFonts w:cs="Arial"/>
          <w:bCs/>
          <w:iCs/>
        </w:rPr>
        <w:t>All securities shall be held for safekeeping by a financial institution approved by the City.</w:t>
      </w:r>
    </w:p>
    <w:p w14:paraId="0CFF0FD2" w14:textId="5A978EED" w:rsidR="00243EB3" w:rsidRPr="00243EB3" w:rsidRDefault="00243EB3" w:rsidP="00243EB3">
      <w:pPr>
        <w:pStyle w:val="Heading2"/>
        <w:rPr>
          <w:snapToGrid w:val="0"/>
          <w:lang w:val="en-CA"/>
        </w:rPr>
      </w:pPr>
      <w:r>
        <w:t>2.</w:t>
      </w:r>
      <w:r>
        <w:tab/>
      </w:r>
      <w:r w:rsidRPr="00243EB3">
        <w:t>Investments</w:t>
      </w:r>
    </w:p>
    <w:p w14:paraId="300E90AE" w14:textId="77777777" w:rsidR="00243EB3" w:rsidRPr="00243EB3" w:rsidRDefault="00243EB3" w:rsidP="00243EB3">
      <w:pPr>
        <w:overflowPunct w:val="0"/>
        <w:autoSpaceDE w:val="0"/>
        <w:autoSpaceDN w:val="0"/>
        <w:adjustRightInd w:val="0"/>
        <w:ind w:left="720" w:hanging="720"/>
        <w:textAlignment w:val="baseline"/>
        <w:rPr>
          <w:rFonts w:cs="Arial"/>
        </w:rPr>
      </w:pPr>
      <w:r w:rsidRPr="00243EB3">
        <w:rPr>
          <w:rFonts w:cs="Arial"/>
          <w:snapToGrid w:val="0"/>
          <w:lang w:val="en-CA"/>
        </w:rPr>
        <w:t>2.1</w:t>
      </w:r>
      <w:r w:rsidRPr="00243EB3">
        <w:rPr>
          <w:rFonts w:cs="Arial"/>
          <w:snapToGrid w:val="0"/>
          <w:lang w:val="en-CA"/>
        </w:rPr>
        <w:tab/>
        <w:t xml:space="preserve">The eligible investments include investments for </w:t>
      </w:r>
      <w:r w:rsidRPr="00243EB3">
        <w:rPr>
          <w:rFonts w:cs="Arial"/>
        </w:rPr>
        <w:t>the General Fund, Reserve Fund, Trust Fund, and the Legacy C.H.E.S.T.</w:t>
      </w:r>
    </w:p>
    <w:p w14:paraId="39D12F30" w14:textId="77777777" w:rsidR="00243EB3" w:rsidRPr="00243EB3" w:rsidRDefault="00243EB3" w:rsidP="00243EB3">
      <w:pPr>
        <w:overflowPunct w:val="0"/>
        <w:autoSpaceDE w:val="0"/>
        <w:autoSpaceDN w:val="0"/>
        <w:adjustRightInd w:val="0"/>
        <w:ind w:left="720" w:hanging="720"/>
        <w:textAlignment w:val="baseline"/>
        <w:rPr>
          <w:rFonts w:cs="Arial"/>
        </w:rPr>
      </w:pPr>
      <w:r w:rsidRPr="00243EB3">
        <w:rPr>
          <w:rFonts w:cs="Arial"/>
        </w:rPr>
        <w:lastRenderedPageBreak/>
        <w:t>2.2</w:t>
      </w:r>
      <w:r w:rsidRPr="00243EB3">
        <w:rPr>
          <w:rFonts w:cs="Arial"/>
        </w:rPr>
        <w:tab/>
        <w:t xml:space="preserve">The municipality may only invest in financial instruments as defined by the governing Ontario legislation: </w:t>
      </w:r>
    </w:p>
    <w:p w14:paraId="290C2552" w14:textId="77777777" w:rsidR="00243EB3" w:rsidRPr="00243EB3" w:rsidRDefault="00243EB3" w:rsidP="00243EB3">
      <w:pPr>
        <w:overflowPunct w:val="0"/>
        <w:autoSpaceDE w:val="0"/>
        <w:autoSpaceDN w:val="0"/>
        <w:adjustRightInd w:val="0"/>
        <w:textAlignment w:val="baseline"/>
        <w:rPr>
          <w:rFonts w:cs="Arial"/>
        </w:rPr>
      </w:pPr>
      <w:r w:rsidRPr="00243EB3">
        <w:rPr>
          <w:rFonts w:cs="Arial"/>
          <w:snapToGrid w:val="0"/>
          <w:lang w:val="en-CA"/>
        </w:rPr>
        <w:t>2.3</w:t>
      </w:r>
      <w:r w:rsidRPr="00243EB3">
        <w:rPr>
          <w:rFonts w:cs="Arial"/>
          <w:snapToGrid w:val="0"/>
          <w:lang w:val="en-CA"/>
        </w:rPr>
        <w:tab/>
        <w:t>The investments shall be diversified by:</w:t>
      </w:r>
    </w:p>
    <w:p w14:paraId="52008F4F" w14:textId="77777777" w:rsidR="00243EB3" w:rsidRPr="00243EB3" w:rsidRDefault="00243EB3" w:rsidP="00243EB3">
      <w:pPr>
        <w:numPr>
          <w:ilvl w:val="0"/>
          <w:numId w:val="8"/>
        </w:numPr>
        <w:tabs>
          <w:tab w:val="clear" w:pos="360"/>
          <w:tab w:val="num" w:pos="1440"/>
        </w:tabs>
        <w:overflowPunct w:val="0"/>
        <w:autoSpaceDE w:val="0"/>
        <w:autoSpaceDN w:val="0"/>
        <w:adjustRightInd w:val="0"/>
        <w:ind w:left="1440" w:hanging="720"/>
        <w:textAlignment w:val="baseline"/>
        <w:rPr>
          <w:rFonts w:cs="Arial"/>
          <w:snapToGrid w:val="0"/>
          <w:lang w:val="en-CA"/>
        </w:rPr>
      </w:pPr>
      <w:r w:rsidRPr="00243EB3">
        <w:rPr>
          <w:rFonts w:cs="Arial"/>
          <w:snapToGrid w:val="0"/>
          <w:lang w:val="en-CA"/>
        </w:rPr>
        <w:t>Limiting investments to avoid over-concentration in securities from a specific issuer or sector (excluding Government of Canada securities);</w:t>
      </w:r>
    </w:p>
    <w:p w14:paraId="7A869F57" w14:textId="77777777" w:rsidR="00243EB3" w:rsidRPr="00243EB3" w:rsidRDefault="00243EB3" w:rsidP="00243EB3">
      <w:pPr>
        <w:numPr>
          <w:ilvl w:val="0"/>
          <w:numId w:val="9"/>
        </w:numPr>
        <w:tabs>
          <w:tab w:val="clear" w:pos="360"/>
          <w:tab w:val="num" w:pos="1440"/>
        </w:tabs>
        <w:overflowPunct w:val="0"/>
        <w:autoSpaceDE w:val="0"/>
        <w:autoSpaceDN w:val="0"/>
        <w:adjustRightInd w:val="0"/>
        <w:ind w:left="1440" w:hanging="720"/>
        <w:textAlignment w:val="baseline"/>
        <w:rPr>
          <w:rFonts w:cs="Arial"/>
          <w:snapToGrid w:val="0"/>
          <w:lang w:val="en-CA"/>
        </w:rPr>
      </w:pPr>
      <w:r w:rsidRPr="00243EB3">
        <w:rPr>
          <w:rFonts w:cs="Arial"/>
          <w:snapToGrid w:val="0"/>
          <w:lang w:val="en-CA"/>
        </w:rPr>
        <w:t>Limiting investment in securities to those that have higher credit ratings;</w:t>
      </w:r>
    </w:p>
    <w:p w14:paraId="199BBE0D" w14:textId="77777777" w:rsidR="00243EB3" w:rsidRPr="00243EB3" w:rsidRDefault="00243EB3" w:rsidP="00243EB3">
      <w:pPr>
        <w:numPr>
          <w:ilvl w:val="0"/>
          <w:numId w:val="10"/>
        </w:numPr>
        <w:tabs>
          <w:tab w:val="clear" w:pos="360"/>
          <w:tab w:val="num" w:pos="1440"/>
        </w:tabs>
        <w:overflowPunct w:val="0"/>
        <w:autoSpaceDE w:val="0"/>
        <w:autoSpaceDN w:val="0"/>
        <w:adjustRightInd w:val="0"/>
        <w:ind w:left="1440" w:hanging="720"/>
        <w:textAlignment w:val="baseline"/>
        <w:rPr>
          <w:rFonts w:cs="Arial"/>
          <w:snapToGrid w:val="0"/>
          <w:lang w:val="en-CA"/>
        </w:rPr>
      </w:pPr>
      <w:r w:rsidRPr="00243EB3">
        <w:rPr>
          <w:rFonts w:cs="Arial"/>
          <w:snapToGrid w:val="0"/>
          <w:lang w:val="en-CA"/>
        </w:rPr>
        <w:t>Investing in securities with varying maturities; and</w:t>
      </w:r>
    </w:p>
    <w:p w14:paraId="06D6AC80" w14:textId="77777777" w:rsidR="00243EB3" w:rsidRPr="00243EB3" w:rsidRDefault="00243EB3" w:rsidP="00243EB3">
      <w:pPr>
        <w:numPr>
          <w:ilvl w:val="0"/>
          <w:numId w:val="11"/>
        </w:numPr>
        <w:tabs>
          <w:tab w:val="clear" w:pos="360"/>
          <w:tab w:val="num" w:pos="1440"/>
        </w:tabs>
        <w:overflowPunct w:val="0"/>
        <w:autoSpaceDE w:val="0"/>
        <w:autoSpaceDN w:val="0"/>
        <w:adjustRightInd w:val="0"/>
        <w:ind w:left="1440" w:hanging="720"/>
        <w:textAlignment w:val="baseline"/>
        <w:rPr>
          <w:rFonts w:cs="Arial"/>
          <w:snapToGrid w:val="0"/>
          <w:lang w:val="en-CA"/>
        </w:rPr>
      </w:pPr>
      <w:r w:rsidRPr="00243EB3">
        <w:rPr>
          <w:rFonts w:cs="Arial"/>
          <w:snapToGrid w:val="0"/>
          <w:lang w:val="en-CA"/>
        </w:rPr>
        <w:t>Investing in mainly liquid, marketable securities which have an active secondary market, to ensure that appropriate liquidity is maintained in order to meet ongoing obligations.</w:t>
      </w:r>
    </w:p>
    <w:p w14:paraId="74A471AE" w14:textId="197FB143" w:rsidR="00243EB3" w:rsidRPr="00243EB3" w:rsidRDefault="00243EB3" w:rsidP="00243EB3">
      <w:pPr>
        <w:pStyle w:val="Heading2"/>
        <w:rPr>
          <w:snapToGrid w:val="0"/>
          <w:lang w:val="en-CA"/>
        </w:rPr>
      </w:pPr>
      <w:r>
        <w:rPr>
          <w:snapToGrid w:val="0"/>
          <w:lang w:val="en-CA"/>
        </w:rPr>
        <w:t>3.</w:t>
      </w:r>
      <w:r>
        <w:rPr>
          <w:snapToGrid w:val="0"/>
          <w:lang w:val="en-CA"/>
        </w:rPr>
        <w:tab/>
      </w:r>
      <w:r w:rsidRPr="00243EB3">
        <w:rPr>
          <w:snapToGrid w:val="0"/>
          <w:lang w:val="en-CA"/>
        </w:rPr>
        <w:t>Legislated Debt Capacity</w:t>
      </w:r>
    </w:p>
    <w:p w14:paraId="63AA0F7A" w14:textId="6F500B41" w:rsidR="00243EB3" w:rsidRPr="00243EB3" w:rsidRDefault="00243EB3" w:rsidP="00243EB3">
      <w:pPr>
        <w:overflowPunct w:val="0"/>
        <w:autoSpaceDE w:val="0"/>
        <w:autoSpaceDN w:val="0"/>
        <w:adjustRightInd w:val="0"/>
        <w:ind w:left="720" w:hanging="720"/>
        <w:textAlignment w:val="baseline"/>
        <w:rPr>
          <w:rFonts w:cs="Arial"/>
          <w:b/>
        </w:rPr>
      </w:pPr>
      <w:r>
        <w:rPr>
          <w:rFonts w:cs="Arial"/>
        </w:rPr>
        <w:t>3.1</w:t>
      </w:r>
      <w:r>
        <w:rPr>
          <w:rFonts w:cs="Arial"/>
        </w:rPr>
        <w:tab/>
      </w:r>
      <w:r w:rsidRPr="00243EB3">
        <w:rPr>
          <w:rFonts w:cs="Arial"/>
        </w:rPr>
        <w:t xml:space="preserve">The annual debt and financial obligation limit for municipalities is prescribed under the Municipal Act. </w:t>
      </w:r>
    </w:p>
    <w:p w14:paraId="0E20B17C" w14:textId="51BCB0B9" w:rsidR="00243EB3" w:rsidRPr="00243EB3" w:rsidRDefault="00243EB3" w:rsidP="00243EB3">
      <w:pPr>
        <w:overflowPunct w:val="0"/>
        <w:autoSpaceDE w:val="0"/>
        <w:autoSpaceDN w:val="0"/>
        <w:adjustRightInd w:val="0"/>
        <w:ind w:left="720" w:hanging="720"/>
        <w:textAlignment w:val="baseline"/>
        <w:rPr>
          <w:rFonts w:cs="Arial"/>
          <w:b/>
        </w:rPr>
      </w:pPr>
      <w:r>
        <w:rPr>
          <w:rFonts w:cs="Arial"/>
        </w:rPr>
        <w:t>3.2</w:t>
      </w:r>
      <w:r>
        <w:rPr>
          <w:rFonts w:cs="Arial"/>
        </w:rPr>
        <w:tab/>
      </w:r>
      <w:r w:rsidRPr="00243EB3">
        <w:rPr>
          <w:rFonts w:cs="Arial"/>
        </w:rPr>
        <w:t>The regulation provides a formula which limits annual repayment obligations to an amount equal to 25% of net revenue.</w:t>
      </w:r>
    </w:p>
    <w:p w14:paraId="1745A6AF" w14:textId="204170C0" w:rsidR="00243EB3" w:rsidRPr="00243EB3" w:rsidRDefault="00243EB3" w:rsidP="00243EB3">
      <w:pPr>
        <w:overflowPunct w:val="0"/>
        <w:autoSpaceDE w:val="0"/>
        <w:autoSpaceDN w:val="0"/>
        <w:adjustRightInd w:val="0"/>
        <w:ind w:left="720" w:hanging="720"/>
        <w:textAlignment w:val="baseline"/>
        <w:rPr>
          <w:rFonts w:cs="Arial"/>
          <w:b/>
        </w:rPr>
      </w:pPr>
      <w:r>
        <w:rPr>
          <w:rFonts w:cs="Arial"/>
        </w:rPr>
        <w:t>3.3</w:t>
      </w:r>
      <w:r>
        <w:rPr>
          <w:rFonts w:cs="Arial"/>
        </w:rPr>
        <w:tab/>
      </w:r>
      <w:r w:rsidRPr="00243EB3">
        <w:rPr>
          <w:rFonts w:cs="Arial"/>
        </w:rPr>
        <w:t>Council shall set debt ceiling thresholds for both tax support and water and wastewater debt.</w:t>
      </w:r>
    </w:p>
    <w:p w14:paraId="661849BC" w14:textId="2BFA7157" w:rsidR="00243EB3" w:rsidRPr="00243EB3" w:rsidRDefault="00243EB3" w:rsidP="00243EB3">
      <w:pPr>
        <w:overflowPunct w:val="0"/>
        <w:autoSpaceDE w:val="0"/>
        <w:autoSpaceDN w:val="0"/>
        <w:adjustRightInd w:val="0"/>
        <w:ind w:left="720" w:hanging="720"/>
        <w:textAlignment w:val="baseline"/>
        <w:rPr>
          <w:rFonts w:cs="Arial"/>
          <w:b/>
        </w:rPr>
      </w:pPr>
      <w:r>
        <w:rPr>
          <w:rFonts w:cs="Arial"/>
        </w:rPr>
        <w:t>3.4</w:t>
      </w:r>
      <w:r>
        <w:rPr>
          <w:rFonts w:cs="Arial"/>
        </w:rPr>
        <w:tab/>
      </w:r>
      <w:r w:rsidRPr="00243EB3">
        <w:rPr>
          <w:rFonts w:cs="Arial"/>
        </w:rPr>
        <w:t>The debt ceiling thresholds shall not exceed the annual repayment limit calculated based on provincial legislative requirements.</w:t>
      </w:r>
    </w:p>
    <w:p w14:paraId="4CD19A0C" w14:textId="7D0EEFCF" w:rsidR="00243EB3" w:rsidRPr="00243EB3" w:rsidRDefault="00243EB3" w:rsidP="00243EB3">
      <w:pPr>
        <w:overflowPunct w:val="0"/>
        <w:autoSpaceDE w:val="0"/>
        <w:autoSpaceDN w:val="0"/>
        <w:adjustRightInd w:val="0"/>
        <w:ind w:left="720" w:hanging="720"/>
        <w:textAlignment w:val="baseline"/>
        <w:rPr>
          <w:rFonts w:cs="Arial"/>
          <w:b/>
        </w:rPr>
      </w:pPr>
      <w:r>
        <w:rPr>
          <w:rFonts w:cs="Arial"/>
        </w:rPr>
        <w:t>3.5</w:t>
      </w:r>
      <w:r>
        <w:rPr>
          <w:rFonts w:cs="Arial"/>
        </w:rPr>
        <w:tab/>
      </w:r>
      <w:r w:rsidRPr="00243EB3">
        <w:rPr>
          <w:rFonts w:cs="Arial"/>
        </w:rPr>
        <w:t>The term “tax supported debt” refers to debt incurred for capital projects for which annual principal and interest payments are funded from the general tax levy.</w:t>
      </w:r>
    </w:p>
    <w:p w14:paraId="200F95A7" w14:textId="5E584FF2" w:rsidR="00243EB3" w:rsidRPr="00243EB3" w:rsidRDefault="00243EB3" w:rsidP="00243EB3">
      <w:pPr>
        <w:overflowPunct w:val="0"/>
        <w:autoSpaceDE w:val="0"/>
        <w:autoSpaceDN w:val="0"/>
        <w:adjustRightInd w:val="0"/>
        <w:ind w:left="720" w:hanging="720"/>
        <w:textAlignment w:val="baseline"/>
        <w:rPr>
          <w:rFonts w:cs="Arial"/>
          <w:b/>
        </w:rPr>
      </w:pPr>
      <w:r>
        <w:rPr>
          <w:rFonts w:cs="Arial"/>
        </w:rPr>
        <w:t>3.6</w:t>
      </w:r>
      <w:r>
        <w:rPr>
          <w:rFonts w:cs="Arial"/>
        </w:rPr>
        <w:tab/>
      </w:r>
      <w:r w:rsidRPr="00243EB3">
        <w:rPr>
          <w:rFonts w:cs="Arial"/>
        </w:rPr>
        <w:t>The term “Water and Wastewater User Rate supported debt” refers to debt incurred for capital projects for which annual principal and interest payments are funded from the Water and Wastewater operating budget.</w:t>
      </w:r>
    </w:p>
    <w:p w14:paraId="10ECF299" w14:textId="77777777" w:rsidR="00243EB3" w:rsidRPr="00243EB3" w:rsidRDefault="00243EB3" w:rsidP="00243EB3">
      <w:pPr>
        <w:overflowPunct w:val="0"/>
        <w:autoSpaceDE w:val="0"/>
        <w:autoSpaceDN w:val="0"/>
        <w:adjustRightInd w:val="0"/>
        <w:ind w:right="90"/>
        <w:textAlignment w:val="baseline"/>
        <w:rPr>
          <w:rFonts w:cs="Arial"/>
          <w:b/>
        </w:rPr>
      </w:pPr>
      <w:r w:rsidRPr="00243EB3">
        <w:rPr>
          <w:rFonts w:cs="Arial"/>
          <w:b/>
        </w:rPr>
        <w:lastRenderedPageBreak/>
        <w:t>4.0</w:t>
      </w:r>
      <w:r w:rsidRPr="00243EB3">
        <w:rPr>
          <w:rFonts w:cs="Arial"/>
          <w:b/>
        </w:rPr>
        <w:tab/>
        <w:t>Responsibilities</w:t>
      </w:r>
    </w:p>
    <w:p w14:paraId="6D23A3A2" w14:textId="77777777" w:rsidR="00243EB3" w:rsidRPr="00243EB3" w:rsidRDefault="00243EB3" w:rsidP="00243EB3">
      <w:pPr>
        <w:overflowPunct w:val="0"/>
        <w:autoSpaceDE w:val="0"/>
        <w:autoSpaceDN w:val="0"/>
        <w:adjustRightInd w:val="0"/>
        <w:ind w:left="720" w:right="90" w:hanging="720"/>
        <w:textAlignment w:val="baseline"/>
        <w:rPr>
          <w:rFonts w:cs="Arial"/>
        </w:rPr>
      </w:pPr>
      <w:r w:rsidRPr="00243EB3">
        <w:rPr>
          <w:rFonts w:cs="Arial"/>
        </w:rPr>
        <w:t>4.1</w:t>
      </w:r>
      <w:r w:rsidRPr="00243EB3">
        <w:rPr>
          <w:rFonts w:cs="Arial"/>
        </w:rPr>
        <w:tab/>
        <w:t>Council is responsible to establish the City’s philosophy through this policy.</w:t>
      </w:r>
    </w:p>
    <w:p w14:paraId="0B4965B5" w14:textId="77777777" w:rsidR="00243EB3" w:rsidRPr="00243EB3" w:rsidRDefault="00243EB3" w:rsidP="00243EB3">
      <w:pPr>
        <w:overflowPunct w:val="0"/>
        <w:autoSpaceDE w:val="0"/>
        <w:autoSpaceDN w:val="0"/>
        <w:adjustRightInd w:val="0"/>
        <w:ind w:left="630" w:right="90" w:hanging="630"/>
        <w:textAlignment w:val="baseline"/>
        <w:rPr>
          <w:rFonts w:cs="Arial"/>
        </w:rPr>
      </w:pPr>
      <w:r w:rsidRPr="00243EB3">
        <w:rPr>
          <w:rFonts w:cs="Arial"/>
        </w:rPr>
        <w:t>4.2</w:t>
      </w:r>
      <w:r w:rsidRPr="00243EB3">
        <w:rPr>
          <w:rFonts w:cs="Arial"/>
        </w:rPr>
        <w:tab/>
        <w:t>The Chief Administrative Officer is accountable to approve the detailed management directives that establish the operational framework.</w:t>
      </w:r>
    </w:p>
    <w:p w14:paraId="19CF7AF1" w14:textId="77777777" w:rsidR="00243EB3" w:rsidRPr="00243EB3" w:rsidRDefault="00243EB3" w:rsidP="00243EB3">
      <w:pPr>
        <w:overflowPunct w:val="0"/>
        <w:autoSpaceDE w:val="0"/>
        <w:autoSpaceDN w:val="0"/>
        <w:adjustRightInd w:val="0"/>
        <w:ind w:left="630" w:right="90" w:hanging="630"/>
        <w:textAlignment w:val="baseline"/>
        <w:rPr>
          <w:rFonts w:cs="Arial"/>
        </w:rPr>
      </w:pPr>
      <w:r w:rsidRPr="00243EB3">
        <w:rPr>
          <w:rFonts w:cs="Arial"/>
        </w:rPr>
        <w:t>4.3</w:t>
      </w:r>
      <w:r w:rsidRPr="00243EB3">
        <w:rPr>
          <w:rFonts w:cs="Arial"/>
        </w:rPr>
        <w:tab/>
        <w:t>Corporate Services is responsible to ensure that the City’s Policy and Management Directive are adhered to.</w:t>
      </w:r>
    </w:p>
    <w:p w14:paraId="50752E13" w14:textId="6D82F4A2" w:rsidR="00243EB3"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8F6C226" w14:textId="5B77A762" w:rsidR="0090099E" w:rsidRPr="0090099E" w:rsidRDefault="00243EB3" w:rsidP="00243EB3">
      <w:pPr>
        <w:spacing w:before="0" w:after="200" w:line="276" w:lineRule="auto"/>
        <w:rPr>
          <w:rFonts w:eastAsiaTheme="majorEastAsia" w:cstheme="majorBidi"/>
          <w:b/>
          <w:bCs/>
          <w:color w:val="2C3D7A"/>
          <w:sz w:val="28"/>
          <w:szCs w:val="28"/>
        </w:rPr>
      </w:pPr>
      <w:r>
        <w:rPr>
          <w:rFonts w:eastAsiaTheme="majorEastAsia" w:cstheme="majorBidi"/>
          <w:b/>
          <w:bCs/>
          <w:color w:val="2C3D7A"/>
          <w:sz w:val="28"/>
          <w:szCs w:val="28"/>
        </w:rPr>
        <w:br w:type="page"/>
      </w:r>
    </w:p>
    <w:p w14:paraId="3A755C3B" w14:textId="77777777" w:rsidR="0090099E" w:rsidRPr="006173E2" w:rsidRDefault="0090099E" w:rsidP="0090099E">
      <w:pPr>
        <w:keepNext/>
        <w:jc w:val="both"/>
        <w:rPr>
          <w:rFonts w:cs="Arial"/>
          <w:bCs/>
        </w:rPr>
      </w:pPr>
      <w:r w:rsidRPr="006173E2">
        <w:rPr>
          <w:rFonts w:cs="Arial"/>
          <w:bCs/>
        </w:rPr>
        <w:lastRenderedPageBreak/>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DE653E" w:rsidRPr="006173E2" w14:paraId="4F6A2CD7" w14:textId="77777777" w:rsidTr="00FE48B2">
        <w:trPr>
          <w:trHeight w:val="432"/>
        </w:trPr>
        <w:tc>
          <w:tcPr>
            <w:tcW w:w="1217" w:type="dxa"/>
            <w:vAlign w:val="center"/>
          </w:tcPr>
          <w:p w14:paraId="436CA563" w14:textId="35D351A8" w:rsidR="00DE653E" w:rsidRPr="006173E2" w:rsidRDefault="00DE653E" w:rsidP="00FE48B2">
            <w:pPr>
              <w:rPr>
                <w:rFonts w:cs="Arial"/>
              </w:rPr>
            </w:pPr>
            <w:r>
              <w:rPr>
                <w:rFonts w:cs="Arial"/>
              </w:rPr>
              <w:t>1.0</w:t>
            </w:r>
          </w:p>
        </w:tc>
        <w:tc>
          <w:tcPr>
            <w:tcW w:w="970" w:type="dxa"/>
            <w:vAlign w:val="center"/>
          </w:tcPr>
          <w:p w14:paraId="3A11B183" w14:textId="42116DB8" w:rsidR="00DE653E" w:rsidRDefault="00DE653E" w:rsidP="00FE48B2">
            <w:pPr>
              <w:rPr>
                <w:rFonts w:cs="Arial"/>
              </w:rPr>
            </w:pPr>
            <w:r>
              <w:rPr>
                <w:rFonts w:cs="Arial"/>
              </w:rPr>
              <w:t>April 20, 2021</w:t>
            </w:r>
          </w:p>
        </w:tc>
        <w:tc>
          <w:tcPr>
            <w:tcW w:w="3933" w:type="dxa"/>
            <w:vAlign w:val="center"/>
          </w:tcPr>
          <w:p w14:paraId="53D3D3AB" w14:textId="22F0F18B" w:rsidR="00DE653E" w:rsidRDefault="00DE653E" w:rsidP="00FE48B2">
            <w:pPr>
              <w:rPr>
                <w:rFonts w:cs="Arial"/>
              </w:rPr>
            </w:pPr>
            <w:r>
              <w:rPr>
                <w:rFonts w:cs="Arial"/>
              </w:rPr>
              <w:t>Updated Policy Number</w:t>
            </w:r>
          </w:p>
        </w:tc>
        <w:tc>
          <w:tcPr>
            <w:tcW w:w="2160" w:type="dxa"/>
            <w:vAlign w:val="center"/>
          </w:tcPr>
          <w:p w14:paraId="006C223D" w14:textId="7EA2F34C" w:rsidR="00DE653E" w:rsidRPr="006173E2" w:rsidRDefault="00DE653E" w:rsidP="00FE48B2">
            <w:pPr>
              <w:rPr>
                <w:rFonts w:cs="Arial"/>
              </w:rPr>
            </w:pPr>
            <w:r>
              <w:rPr>
                <w:rFonts w:cs="Arial"/>
              </w:rPr>
              <w:t>Council</w:t>
            </w:r>
            <w:bookmarkStart w:id="0" w:name="_GoBack"/>
            <w:bookmarkEnd w:id="0"/>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0349E732" w:rsidR="00226B10" w:rsidRPr="00F95061" w:rsidRDefault="00DE653E" w:rsidP="00F95061">
            <w:pPr>
              <w:pStyle w:val="Footer"/>
              <w:jc w:val="right"/>
              <w:rPr>
                <w:rFonts w:cs="Arial"/>
                <w:sz w:val="20"/>
                <w:szCs w:val="20"/>
              </w:rPr>
            </w:pPr>
            <w:r>
              <w:rPr>
                <w:rFonts w:cs="Arial"/>
                <w:sz w:val="20"/>
                <w:szCs w:val="20"/>
              </w:rPr>
              <w:t xml:space="preserve">CP2021-018 </w:t>
            </w:r>
            <w:r w:rsidR="00243EB3">
              <w:rPr>
                <w:rFonts w:cs="Arial"/>
                <w:sz w:val="20"/>
                <w:szCs w:val="20"/>
              </w:rPr>
              <w:t>Financial Management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5B4A"/>
    <w:multiLevelType w:val="multilevel"/>
    <w:tmpl w:val="69F090E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6B71D4"/>
    <w:multiLevelType w:val="multilevel"/>
    <w:tmpl w:val="041C0C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0D30858"/>
    <w:multiLevelType w:val="multilevel"/>
    <w:tmpl w:val="73841F3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223C12C1"/>
    <w:multiLevelType w:val="multilevel"/>
    <w:tmpl w:val="9EC8D2A6"/>
    <w:lvl w:ilvl="0">
      <w:start w:val="1"/>
      <w:numFmt w:val="decimal"/>
      <w:lvlText w:val="%1.0"/>
      <w:lvlJc w:val="left"/>
      <w:pPr>
        <w:ind w:left="405" w:hanging="405"/>
      </w:pPr>
      <w:rPr>
        <w:rFonts w:hint="default"/>
        <w:b/>
        <w:sz w:val="24"/>
        <w:szCs w:val="24"/>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0864B7D"/>
    <w:multiLevelType w:val="hybridMultilevel"/>
    <w:tmpl w:val="D9228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53732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041AC4"/>
    <w:multiLevelType w:val="multilevel"/>
    <w:tmpl w:val="1A9059F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D911377"/>
    <w:multiLevelType w:val="multilevel"/>
    <w:tmpl w:val="E51C05F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58C325F"/>
    <w:multiLevelType w:val="hybridMultilevel"/>
    <w:tmpl w:val="5B1CB354"/>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9" w15:restartNumberingAfterBreak="0">
    <w:nsid w:val="69A118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130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0367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0"/>
  </w:num>
  <w:num w:numId="6">
    <w:abstractNumId w:val="6"/>
  </w:num>
  <w:num w:numId="7">
    <w:abstractNumId w:val="2"/>
  </w:num>
  <w:num w:numId="8">
    <w:abstractNumId w:val="10"/>
  </w:num>
  <w:num w:numId="9">
    <w:abstractNumId w:val="11"/>
  </w:num>
  <w:num w:numId="10">
    <w:abstractNumId w:val="5"/>
  </w:num>
  <w:num w:numId="11">
    <w:abstractNumId w:val="9"/>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56C9"/>
    <w:rsid w:val="00065EA2"/>
    <w:rsid w:val="000F2CCD"/>
    <w:rsid w:val="00170791"/>
    <w:rsid w:val="00226B10"/>
    <w:rsid w:val="00243EB3"/>
    <w:rsid w:val="002A4BEF"/>
    <w:rsid w:val="00331815"/>
    <w:rsid w:val="003B3C67"/>
    <w:rsid w:val="003E69C2"/>
    <w:rsid w:val="00425202"/>
    <w:rsid w:val="0046540A"/>
    <w:rsid w:val="00467795"/>
    <w:rsid w:val="004A377A"/>
    <w:rsid w:val="004B297F"/>
    <w:rsid w:val="004B540D"/>
    <w:rsid w:val="005A3087"/>
    <w:rsid w:val="00614FA0"/>
    <w:rsid w:val="006470BE"/>
    <w:rsid w:val="006C50B4"/>
    <w:rsid w:val="006C6658"/>
    <w:rsid w:val="006E31BC"/>
    <w:rsid w:val="007A4E37"/>
    <w:rsid w:val="007F59E4"/>
    <w:rsid w:val="007F67E1"/>
    <w:rsid w:val="008B7935"/>
    <w:rsid w:val="008E5E29"/>
    <w:rsid w:val="0090099E"/>
    <w:rsid w:val="009D3584"/>
    <w:rsid w:val="009E7C86"/>
    <w:rsid w:val="00A07FCF"/>
    <w:rsid w:val="00A136DA"/>
    <w:rsid w:val="00AC4A09"/>
    <w:rsid w:val="00B12CB8"/>
    <w:rsid w:val="00B5071F"/>
    <w:rsid w:val="00B6008D"/>
    <w:rsid w:val="00B614C0"/>
    <w:rsid w:val="00C06DED"/>
    <w:rsid w:val="00C44751"/>
    <w:rsid w:val="00C74F14"/>
    <w:rsid w:val="00C97667"/>
    <w:rsid w:val="00D210F2"/>
    <w:rsid w:val="00D21202"/>
    <w:rsid w:val="00D744ED"/>
    <w:rsid w:val="00DC04AB"/>
    <w:rsid w:val="00DC2655"/>
    <w:rsid w:val="00DE653E"/>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8B7935"/>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8B7935"/>
    <w:pPr>
      <w:keepNext/>
      <w:keepLines/>
      <w:outlineLvl w:val="2"/>
    </w:pPr>
    <w:rPr>
      <w:rFonts w:eastAsiaTheme="majorEastAsia" w:cstheme="majorBidi"/>
      <w:b/>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8B7935"/>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8B7935"/>
    <w:rPr>
      <w:rFonts w:ascii="Arial" w:eastAsiaTheme="majorEastAsia" w:hAnsi="Arial" w:cstheme="majorBidi"/>
      <w:b/>
      <w:color w:val="1F497D" w:themeColor="text2"/>
      <w:sz w:val="28"/>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27</COKL_x0020_Division>
    <COKL_x0020_Department xmlns="9a81a57e-1799-4259-a456-052d3d590a00">4</COKL_x0020_Department>
    <Effective_x0020_Date xmlns="9a81a57e-1799-4259-a456-052d3d590a00">2017-04-18T04:00:00+00:00</Effective_x0020_Date>
    <_dlc_DocId xmlns="2026e193-403e-49b0-84d7-399809578d26">PYP3NSX4DFEQ-18-16</_dlc_DocId>
    <_dlc_DocIdUrl xmlns="2026e193-403e-49b0-84d7-399809578d26">
      <Url>https://documents.city.kawarthalakes.on.ca/sites/CorpDocs/_layouts/15/DocIdRedir.aspx?ID=PYP3NSX4DFEQ-18-16</Url>
      <Description>PYP3NSX4DFEQ-18-16</Description>
    </_dlc_DocIdUrl>
    <Policy_x0020_Number xmlns="9a81a57e-1799-4259-a456-052d3d590a00">CP2021-018</Policy_x0020_Number>
    <Related_x0020_Procedure xmlns="9a81a57e-1799-4259-a456-052d3d590a00" xsi:nil="true"/>
    <Approval_x0020_Date xmlns="9a81a57e-1799-4259-a456-052d3d590a00">2017-04-18T04:00:00+00:00</Approval_x0020_Date>
    <Related_x0020_Policy xmlns="9a81a57e-1799-4259-a456-052d3d590a00" xsi:nil="true"/>
    <Policy_x0020_Name xmlns="9a81a57e-1799-4259-a456-052d3d590a00">Financial Management Policy</Policy_x0020_Name>
    <Policy_x0020_Category xmlns="9a81a57e-1799-4259-a456-052d3d590a00">Section B - Finance</Policy_x0020_Category>
    <Policy_x0020_Type xmlns="9a81a57e-1799-4259-a456-052d3d590a00">Corporate</Policy_x0020_Type>
    <Policy_x0020_Sub_x0020_Category xmlns="9a81a57e-1799-4259-a456-052d3d590a00">B.14 -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314ED-8C8D-4D99-9959-A017194F7B7C}">
  <ds:schemaRefs>
    <ds:schemaRef ds:uri="http://schemas.microsoft.com/sharepoint/v3/contenttype/forms"/>
  </ds:schemaRefs>
</ds:datastoreItem>
</file>

<file path=customXml/itemProps2.xml><?xml version="1.0" encoding="utf-8"?>
<ds:datastoreItem xmlns:ds="http://schemas.openxmlformats.org/officeDocument/2006/customXml" ds:itemID="{E3AA386B-2E1F-41A5-A116-13C235F3FC54}">
  <ds:schemaRefs>
    <ds:schemaRef ds:uri="http://purl.org/dc/elements/1.1/"/>
    <ds:schemaRef ds:uri="http://schemas.microsoft.com/office/2006/metadata/properties"/>
    <ds:schemaRef ds:uri="9a81a57e-1799-4259-a456-052d3d590a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26e193-403e-49b0-84d7-399809578d26"/>
    <ds:schemaRef ds:uri="http://www.w3.org/XML/1998/namespace"/>
    <ds:schemaRef ds:uri="http://purl.org/dc/dcmitype/"/>
  </ds:schemaRefs>
</ds:datastoreItem>
</file>

<file path=customXml/itemProps3.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4.xml><?xml version="1.0" encoding="utf-8"?>
<ds:datastoreItem xmlns:ds="http://schemas.openxmlformats.org/officeDocument/2006/customXml" ds:itemID="{CDCA2CD5-B9E9-486C-BA34-001A35E21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2021-06-04T17:00:00Z</dcterms:created>
  <dcterms:modified xsi:type="dcterms:W3CDTF">2021-06-04T17:00:00Z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71ffb2cd-3c5d-442d-8420-b377752670a7</vt:lpwstr>
  </property>
  <property fmtid="{D5CDD505-2E9C-101B-9397-08002B2CF9AE}" pid="4" name="By-Law Subject">
    <vt:lpwstr/>
  </property>
  <property fmtid="{D5CDD505-2E9C-101B-9397-08002B2CF9AE}" pid="5" name="By-Law Number">
    <vt:lpwstr/>
  </property>
  <property fmtid="{D5CDD505-2E9C-101B-9397-08002B2CF9AE}" pid="6" name="Order">
    <vt:lpwstr>428600.000000000</vt:lpwstr>
  </property>
  <property fmtid="{D5CDD505-2E9C-101B-9397-08002B2CF9AE}" pid="7" name="Related Documents">
    <vt:lpwstr/>
  </property>
  <property fmtid="{D5CDD505-2E9C-101B-9397-08002B2CF9AE}" pid="8" name="Sensitivity">
    <vt:lpwstr/>
  </property>
  <property fmtid="{D5CDD505-2E9C-101B-9397-08002B2CF9AE}" pid="9" name="Agenda Type">
    <vt:lpwstr/>
  </property>
  <property fmtid="{D5CDD505-2E9C-101B-9397-08002B2CF9AE}" pid="10" name="Report Numbers">
    <vt:lpwstr/>
  </property>
  <property fmtid="{D5CDD505-2E9C-101B-9397-08002B2CF9AE}" pid="11" name="Storage Location">
    <vt:lpwstr/>
  </property>
  <property fmtid="{D5CDD505-2E9C-101B-9397-08002B2CF9AE}" pid="12" name="Resolution Number">
    <vt:lpwstr/>
  </property>
  <property fmtid="{D5CDD505-2E9C-101B-9397-08002B2CF9AE}" pid="13" name="Government Authority">
    <vt:lpwstr/>
  </property>
  <property fmtid="{D5CDD505-2E9C-101B-9397-08002B2CF9AE}" pid="14" name="Date of Meeting">
    <vt:lpwstr/>
  </property>
  <property fmtid="{D5CDD505-2E9C-101B-9397-08002B2CF9AE}" pid="15" name="By-Law Sub Category">
    <vt:lpwstr/>
  </property>
  <property fmtid="{D5CDD505-2E9C-101B-9397-08002B2CF9AE}" pid="16" name="Report Destination">
    <vt:lpwstr/>
  </property>
  <property fmtid="{D5CDD505-2E9C-101B-9397-08002B2CF9AE}" pid="17" name="Minutes Status">
    <vt:lpwstr/>
  </property>
  <property fmtid="{D5CDD505-2E9C-101B-9397-08002B2CF9AE}" pid="18" name="Related Service">
    <vt:lpwstr/>
  </property>
  <property fmtid="{D5CDD505-2E9C-101B-9397-08002B2CF9AE}" pid="19" name="Minutes Type">
    <vt:lpwstr/>
  </property>
  <property fmtid="{D5CDD505-2E9C-101B-9397-08002B2CF9AE}" pid="20" name="COKL Report Status">
    <vt:lpwstr/>
  </property>
  <property fmtid="{D5CDD505-2E9C-101B-9397-08002B2CF9AE}" pid="21" name="Submitted Date">
    <vt:lpwstr/>
  </property>
  <property fmtid="{D5CDD505-2E9C-101B-9397-08002B2CF9AE}" pid="22" name="Report Number">
    <vt:lpwstr/>
  </property>
  <property fmtid="{D5CDD505-2E9C-101B-9397-08002B2CF9AE}" pid="23" name="Plan Type">
    <vt:lpwstr/>
  </property>
  <property fmtid="{D5CDD505-2E9C-101B-9397-08002B2CF9AE}" pid="24" name="Committee Title">
    <vt:lpwstr/>
  </property>
  <property fmtid="{D5CDD505-2E9C-101B-9397-08002B2CF9AE}" pid="25" name="Statutory">
    <vt:lpwstr/>
  </property>
  <property fmtid="{D5CDD505-2E9C-101B-9397-08002B2CF9AE}" pid="26" name="Agenda Status">
    <vt:lpwstr/>
  </property>
  <property fmtid="{D5CDD505-2E9C-101B-9397-08002B2CF9AE}" pid="27" name="By-Law Category">
    <vt:lpwstr/>
  </property>
  <property fmtid="{D5CDD505-2E9C-101B-9397-08002B2CF9AE}" pid="28" name="Study Name">
    <vt:lpwstr/>
  </property>
  <property fmtid="{D5CDD505-2E9C-101B-9397-08002B2CF9AE}" pid="29" name="Completion Date">
    <vt:lpwstr/>
  </property>
  <property fmtid="{D5CDD505-2E9C-101B-9397-08002B2CF9AE}" pid="30" name="Plan Status">
    <vt:lpwstr/>
  </property>
  <property fmtid="{D5CDD505-2E9C-101B-9397-08002B2CF9AE}" pid="31" name="Study Status">
    <vt:lpwstr/>
  </property>
  <property fmtid="{D5CDD505-2E9C-101B-9397-08002B2CF9AE}" pid="32" name="Report Title">
    <vt:lpwstr/>
  </property>
</Properties>
</file>