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7A618CDE" w14:textId="77777777" w:rsidTr="00A51F4C">
        <w:trPr>
          <w:trHeight w:val="521"/>
        </w:trPr>
        <w:tc>
          <w:tcPr>
            <w:tcW w:w="4695" w:type="dxa"/>
            <w:vAlign w:val="center"/>
          </w:tcPr>
          <w:p w14:paraId="2BFBF90E" w14:textId="77777777" w:rsidR="00A27E1E" w:rsidRDefault="00A27E1E" w:rsidP="00A27E1E">
            <w:pPr>
              <w:rPr>
                <w:rFonts w:cs="Arial"/>
              </w:rPr>
            </w:pPr>
            <w:r w:rsidRPr="00677D1E">
              <w:rPr>
                <w:rFonts w:cs="Arial"/>
              </w:rPr>
              <w:t>Council Policy No.:</w:t>
            </w:r>
          </w:p>
        </w:tc>
        <w:tc>
          <w:tcPr>
            <w:tcW w:w="4655" w:type="dxa"/>
            <w:shd w:val="clear" w:color="auto" w:fill="auto"/>
          </w:tcPr>
          <w:p w14:paraId="1B19BB78" w14:textId="26487E32" w:rsidR="00A27E1E" w:rsidRDefault="001C302E" w:rsidP="00A27E1E">
            <w:pPr>
              <w:rPr>
                <w:rFonts w:cs="Arial"/>
              </w:rPr>
            </w:pPr>
            <w:r>
              <w:t>CP2021-004</w:t>
            </w:r>
            <w:r w:rsidR="008C1F5B">
              <w:t xml:space="preserve"> (formerly CP2018-011)</w:t>
            </w:r>
          </w:p>
        </w:tc>
      </w:tr>
      <w:tr w:rsidR="00A27E1E" w14:paraId="6291EB1E" w14:textId="77777777" w:rsidTr="00A51F4C">
        <w:trPr>
          <w:trHeight w:val="539"/>
        </w:trPr>
        <w:tc>
          <w:tcPr>
            <w:tcW w:w="4695" w:type="dxa"/>
            <w:vAlign w:val="center"/>
          </w:tcPr>
          <w:p w14:paraId="0B661251" w14:textId="77777777" w:rsidR="00A27E1E" w:rsidRDefault="00A27E1E" w:rsidP="00A27E1E">
            <w:pPr>
              <w:rPr>
                <w:rFonts w:cs="Arial"/>
              </w:rPr>
            </w:pPr>
            <w:r w:rsidRPr="00677D1E">
              <w:rPr>
                <w:rFonts w:cs="Arial"/>
              </w:rPr>
              <w:t>Council Policy Name:</w:t>
            </w:r>
          </w:p>
        </w:tc>
        <w:tc>
          <w:tcPr>
            <w:tcW w:w="4655" w:type="dxa"/>
            <w:shd w:val="clear" w:color="auto" w:fill="auto"/>
          </w:tcPr>
          <w:p w14:paraId="4D8634D1" w14:textId="2B9040D9" w:rsidR="00A27E1E" w:rsidRDefault="00A27E1E" w:rsidP="00A27E1E">
            <w:pPr>
              <w:rPr>
                <w:rFonts w:cs="Arial"/>
              </w:rPr>
            </w:pPr>
            <w:r w:rsidRPr="00976F59">
              <w:t>Right of Way Widths</w:t>
            </w:r>
            <w:r w:rsidR="00720079">
              <w:t xml:space="preserve"> Policy</w:t>
            </w:r>
          </w:p>
        </w:tc>
      </w:tr>
      <w:tr w:rsidR="00A27E1E" w14:paraId="42569A58" w14:textId="77777777" w:rsidTr="00A51F4C">
        <w:trPr>
          <w:trHeight w:val="530"/>
        </w:trPr>
        <w:tc>
          <w:tcPr>
            <w:tcW w:w="4695" w:type="dxa"/>
            <w:vAlign w:val="center"/>
          </w:tcPr>
          <w:p w14:paraId="12F5D26A" w14:textId="77777777" w:rsidR="00A27E1E" w:rsidRDefault="00A27E1E" w:rsidP="00A27E1E">
            <w:pPr>
              <w:rPr>
                <w:rFonts w:cs="Arial"/>
              </w:rPr>
            </w:pPr>
            <w:r w:rsidRPr="00677D1E">
              <w:rPr>
                <w:rFonts w:cs="Arial"/>
              </w:rPr>
              <w:t>Date Approved by Council:</w:t>
            </w:r>
          </w:p>
        </w:tc>
        <w:tc>
          <w:tcPr>
            <w:tcW w:w="4655" w:type="dxa"/>
            <w:shd w:val="clear" w:color="auto" w:fill="auto"/>
          </w:tcPr>
          <w:p w14:paraId="462FB153" w14:textId="22310C33" w:rsidR="00A27E1E" w:rsidRDefault="00945DB9" w:rsidP="00A27E1E">
            <w:pPr>
              <w:rPr>
                <w:rFonts w:cs="Arial"/>
              </w:rPr>
            </w:pPr>
            <w:r>
              <w:rPr>
                <w:rFonts w:cs="Arial"/>
              </w:rPr>
              <w:t>May 10, 2005</w:t>
            </w:r>
          </w:p>
        </w:tc>
      </w:tr>
      <w:tr w:rsidR="00A27E1E" w14:paraId="59B74F8F" w14:textId="77777777" w:rsidTr="00A51F4C">
        <w:trPr>
          <w:trHeight w:val="530"/>
        </w:trPr>
        <w:tc>
          <w:tcPr>
            <w:tcW w:w="4695" w:type="dxa"/>
            <w:vAlign w:val="center"/>
          </w:tcPr>
          <w:p w14:paraId="0F6C028E" w14:textId="77777777" w:rsidR="00A27E1E" w:rsidRDefault="00A27E1E" w:rsidP="00A27E1E">
            <w:pPr>
              <w:rPr>
                <w:rFonts w:cs="Arial"/>
              </w:rPr>
            </w:pPr>
            <w:r w:rsidRPr="00677D1E">
              <w:rPr>
                <w:rFonts w:cs="Arial"/>
              </w:rPr>
              <w:t>Date revision approved by Council:</w:t>
            </w:r>
          </w:p>
        </w:tc>
        <w:tc>
          <w:tcPr>
            <w:tcW w:w="4655" w:type="dxa"/>
            <w:shd w:val="clear" w:color="auto" w:fill="auto"/>
          </w:tcPr>
          <w:p w14:paraId="15431558" w14:textId="7D943836" w:rsidR="00A27E1E" w:rsidRDefault="001C302E" w:rsidP="00A27E1E">
            <w:pPr>
              <w:rPr>
                <w:rFonts w:cs="Arial"/>
              </w:rPr>
            </w:pPr>
            <w:r>
              <w:rPr>
                <w:rFonts w:cs="Arial"/>
              </w:rPr>
              <w:t>April 20,2021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2B0FC9A" w:rsidR="00E079A5" w:rsidRDefault="00E079A5" w:rsidP="00E079A5">
            <w:pPr>
              <w:spacing w:before="0" w:after="0"/>
              <w:rPr>
                <w:rFonts w:cs="Arial"/>
              </w:rPr>
            </w:pPr>
          </w:p>
        </w:tc>
      </w:tr>
    </w:tbl>
    <w:p w14:paraId="02852FD9"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Policy Statement and Rationale:</w:t>
      </w:r>
    </w:p>
    <w:p w14:paraId="4A8945C3" w14:textId="77777777" w:rsidR="00A27E1E" w:rsidRPr="00A27E1E" w:rsidRDefault="00A27E1E" w:rsidP="00A27E1E">
      <w:pPr>
        <w:overflowPunct w:val="0"/>
        <w:autoSpaceDE w:val="0"/>
        <w:autoSpaceDN w:val="0"/>
        <w:adjustRightInd w:val="0"/>
        <w:textAlignment w:val="baseline"/>
        <w:rPr>
          <w:rFonts w:cs="Arial"/>
        </w:rPr>
      </w:pPr>
      <w:r w:rsidRPr="00A27E1E">
        <w:rPr>
          <w:rFonts w:cs="Arial"/>
        </w:rPr>
        <w:t>Right of ways are common public lands and provide space for the placement of common services such as roads, sidewalks, water and sewer and utilities such as telephone, electricity and natural gas. Because we are in a northern climate, right of ways must also provide sufficient volume for the storage of snow plowed from the streets.</w:t>
      </w:r>
    </w:p>
    <w:p w14:paraId="0F4630F2" w14:textId="77777777" w:rsidR="00A27E1E" w:rsidRPr="00A27E1E" w:rsidRDefault="00A27E1E" w:rsidP="00A27E1E">
      <w:pPr>
        <w:overflowPunct w:val="0"/>
        <w:autoSpaceDE w:val="0"/>
        <w:autoSpaceDN w:val="0"/>
        <w:adjustRightInd w:val="0"/>
        <w:spacing w:before="0" w:after="0"/>
        <w:textAlignment w:val="baseline"/>
      </w:pPr>
      <w:r w:rsidRPr="00A27E1E">
        <w:t>The widths recommended in the policy are considered the minimum necessary to provide for the placement of common services for the public. They represent a reasonable balance between the needs of the road authority to provide for the services and desires of the development community to minimize the allocation of lands for such common purposes.</w:t>
      </w:r>
    </w:p>
    <w:p w14:paraId="12D07C00"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Scope:</w:t>
      </w:r>
    </w:p>
    <w:p w14:paraId="6331B56F" w14:textId="77777777" w:rsidR="00A27E1E" w:rsidRPr="00A27E1E" w:rsidRDefault="00A27E1E" w:rsidP="00A27E1E">
      <w:pPr>
        <w:overflowPunct w:val="0"/>
        <w:autoSpaceDE w:val="0"/>
        <w:autoSpaceDN w:val="0"/>
        <w:adjustRightInd w:val="0"/>
        <w:jc w:val="both"/>
        <w:textAlignment w:val="baseline"/>
        <w:rPr>
          <w:bCs/>
        </w:rPr>
      </w:pPr>
      <w:r w:rsidRPr="00A27E1E">
        <w:rPr>
          <w:bCs/>
        </w:rPr>
        <w:t>This policy applies to all existing and proposed right of ways within the City of Kawartha Lakes.</w:t>
      </w:r>
    </w:p>
    <w:p w14:paraId="050A4E53" w14:textId="77777777" w:rsidR="00A27E1E" w:rsidRPr="00A27E1E" w:rsidRDefault="00A27E1E" w:rsidP="00A27E1E">
      <w:pPr>
        <w:pStyle w:val="Heading2"/>
      </w:pPr>
      <w:r w:rsidRPr="00A27E1E">
        <w:t>Definitions:</w:t>
      </w:r>
    </w:p>
    <w:p w14:paraId="776B8850" w14:textId="77777777" w:rsidR="00A27E1E" w:rsidRPr="00A27E1E" w:rsidRDefault="00A27E1E" w:rsidP="00A27E1E">
      <w:pPr>
        <w:overflowPunct w:val="0"/>
        <w:autoSpaceDE w:val="0"/>
        <w:autoSpaceDN w:val="0"/>
        <w:adjustRightInd w:val="0"/>
        <w:textAlignment w:val="baseline"/>
        <w:rPr>
          <w:bCs/>
          <w:iCs/>
        </w:rPr>
      </w:pPr>
      <w:r w:rsidRPr="00A27E1E">
        <w:rPr>
          <w:bCs/>
          <w:iCs/>
        </w:rPr>
        <w:t>Local Roads – Roads whose primary function is to provide access to adjoining properties.  Local roads connect to other local roads and collector roads.</w:t>
      </w:r>
    </w:p>
    <w:p w14:paraId="73594DCF" w14:textId="77777777" w:rsidR="00A27E1E" w:rsidRPr="00A27E1E" w:rsidRDefault="00A27E1E" w:rsidP="00A27E1E">
      <w:pPr>
        <w:overflowPunct w:val="0"/>
        <w:autoSpaceDE w:val="0"/>
        <w:autoSpaceDN w:val="0"/>
        <w:adjustRightInd w:val="0"/>
        <w:textAlignment w:val="baseline"/>
        <w:rPr>
          <w:bCs/>
          <w:iCs/>
        </w:rPr>
      </w:pPr>
      <w:r w:rsidRPr="00A27E1E">
        <w:rPr>
          <w:bCs/>
          <w:iCs/>
        </w:rPr>
        <w:t xml:space="preserve">Collector Roads – Roads whose purpose is to provide access to property and move traffic.  They connect local roads to the arterial system. Collector roads place equal priority on these two functions. Minor Collectors provide service to a small number of </w:t>
      </w:r>
      <w:r w:rsidRPr="00A27E1E">
        <w:rPr>
          <w:bCs/>
          <w:iCs/>
        </w:rPr>
        <w:lastRenderedPageBreak/>
        <w:t>local roadways, typically less than five. Major Collectors service larger numbers of roadways and hence carry higher volumes of traffic.</w:t>
      </w:r>
    </w:p>
    <w:p w14:paraId="440AFC01" w14:textId="77777777" w:rsidR="00A27E1E" w:rsidRPr="00A27E1E" w:rsidRDefault="00A27E1E" w:rsidP="00A27E1E">
      <w:pPr>
        <w:overflowPunct w:val="0"/>
        <w:autoSpaceDE w:val="0"/>
        <w:autoSpaceDN w:val="0"/>
        <w:adjustRightInd w:val="0"/>
        <w:spacing w:before="0" w:after="0"/>
        <w:textAlignment w:val="baseline"/>
        <w:rPr>
          <w:bCs/>
        </w:rPr>
      </w:pPr>
      <w:r w:rsidRPr="00A27E1E">
        <w:rPr>
          <w:bCs/>
          <w:iCs/>
        </w:rPr>
        <w:t>Arterial Roads – Roads whose function is primarily to move traffic. Property access is a secondary consideration and may be restricted to avoid interference with the flow of traffic.</w:t>
      </w:r>
    </w:p>
    <w:p w14:paraId="74728B4D"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Policy:</w:t>
      </w:r>
    </w:p>
    <w:p w14:paraId="6956FA1D" w14:textId="77777777" w:rsidR="00A27E1E" w:rsidRPr="00A27E1E" w:rsidRDefault="00A27E1E" w:rsidP="00A27E1E">
      <w:pPr>
        <w:numPr>
          <w:ilvl w:val="0"/>
          <w:numId w:val="32"/>
        </w:numPr>
        <w:overflowPunct w:val="0"/>
        <w:autoSpaceDE w:val="0"/>
        <w:autoSpaceDN w:val="0"/>
        <w:adjustRightInd w:val="0"/>
        <w:jc w:val="both"/>
        <w:textAlignment w:val="baseline"/>
      </w:pPr>
      <w:r w:rsidRPr="00A27E1E">
        <w:t>That the City adopt a policy on minimum right of ways.</w:t>
      </w:r>
    </w:p>
    <w:p w14:paraId="48C60F2A" w14:textId="77777777" w:rsidR="00A27E1E" w:rsidRPr="00A27E1E" w:rsidRDefault="00A27E1E" w:rsidP="00A27E1E">
      <w:pPr>
        <w:numPr>
          <w:ilvl w:val="1"/>
          <w:numId w:val="33"/>
        </w:numPr>
        <w:overflowPunct w:val="0"/>
        <w:autoSpaceDE w:val="0"/>
        <w:autoSpaceDN w:val="0"/>
        <w:adjustRightInd w:val="0"/>
        <w:spacing w:before="0" w:after="0"/>
        <w:jc w:val="both"/>
        <w:textAlignment w:val="baseline"/>
        <w:rPr>
          <w:bCs/>
        </w:rPr>
      </w:pPr>
      <w:r w:rsidRPr="00A27E1E">
        <w:rPr>
          <w:bCs/>
        </w:rPr>
        <w:t>The City of Kawartha Lakes adopts the following minimum widths for public purposes:</w:t>
      </w:r>
    </w:p>
    <w:p w14:paraId="714095EC" w14:textId="1FBCC613" w:rsidR="00A27E1E" w:rsidRPr="00A27E1E" w:rsidRDefault="00A27E1E" w:rsidP="008F195B">
      <w:pPr>
        <w:tabs>
          <w:tab w:val="left" w:pos="720"/>
          <w:tab w:val="left" w:pos="4320"/>
          <w:tab w:val="left" w:pos="6480"/>
        </w:tabs>
        <w:overflowPunct w:val="0"/>
        <w:autoSpaceDE w:val="0"/>
        <w:autoSpaceDN w:val="0"/>
        <w:adjustRightInd w:val="0"/>
        <w:spacing w:before="0" w:after="0"/>
        <w:ind w:left="720"/>
        <w:jc w:val="both"/>
        <w:textAlignment w:val="baseline"/>
        <w:rPr>
          <w:b/>
        </w:rPr>
      </w:pPr>
      <w:r w:rsidRPr="00A27E1E">
        <w:rPr>
          <w:b/>
        </w:rPr>
        <w:t>Road Classification</w:t>
      </w:r>
      <w:r w:rsidRPr="00A27E1E">
        <w:rPr>
          <w:b/>
        </w:rPr>
        <w:tab/>
        <w:t>Urban</w:t>
      </w:r>
      <w:r w:rsidRPr="00A27E1E">
        <w:rPr>
          <w:b/>
        </w:rPr>
        <w:tab/>
        <w:t>Rural</w:t>
      </w:r>
    </w:p>
    <w:p w14:paraId="55C46C81" w14:textId="06C4F2A3" w:rsidR="00A27E1E" w:rsidRPr="00A27E1E" w:rsidRDefault="00A27E1E" w:rsidP="008F195B">
      <w:pPr>
        <w:tabs>
          <w:tab w:val="left" w:pos="720"/>
          <w:tab w:val="left" w:pos="4320"/>
          <w:tab w:val="left" w:pos="6480"/>
        </w:tabs>
        <w:overflowPunct w:val="0"/>
        <w:autoSpaceDE w:val="0"/>
        <w:autoSpaceDN w:val="0"/>
        <w:adjustRightInd w:val="0"/>
        <w:spacing w:before="0" w:after="0"/>
        <w:ind w:left="720"/>
        <w:jc w:val="both"/>
        <w:textAlignment w:val="baseline"/>
      </w:pPr>
      <w:r w:rsidRPr="00A27E1E">
        <w:t>Local</w:t>
      </w:r>
      <w:r w:rsidRPr="00A27E1E">
        <w:tab/>
        <w:t xml:space="preserve">18.5 </w:t>
      </w:r>
      <w:proofErr w:type="spellStart"/>
      <w:r w:rsidRPr="00A27E1E">
        <w:t>metres</w:t>
      </w:r>
      <w:proofErr w:type="spellEnd"/>
      <w:r w:rsidRPr="00A27E1E">
        <w:tab/>
        <w:t xml:space="preserve">20.0 </w:t>
      </w:r>
      <w:proofErr w:type="spellStart"/>
      <w:r w:rsidRPr="00A27E1E">
        <w:t>metres</w:t>
      </w:r>
      <w:proofErr w:type="spellEnd"/>
    </w:p>
    <w:p w14:paraId="6B836EBF" w14:textId="256F46B0" w:rsidR="00A27E1E" w:rsidRPr="00A27E1E" w:rsidRDefault="00A27E1E" w:rsidP="008F195B">
      <w:pPr>
        <w:tabs>
          <w:tab w:val="left" w:pos="720"/>
          <w:tab w:val="left" w:pos="4320"/>
        </w:tabs>
        <w:overflowPunct w:val="0"/>
        <w:autoSpaceDE w:val="0"/>
        <w:autoSpaceDN w:val="0"/>
        <w:adjustRightInd w:val="0"/>
        <w:spacing w:before="0" w:after="0"/>
        <w:ind w:left="720"/>
        <w:jc w:val="both"/>
        <w:textAlignment w:val="baseline"/>
        <w:rPr>
          <w:b/>
        </w:rPr>
      </w:pPr>
      <w:r w:rsidRPr="00A27E1E">
        <w:t>Minor Collector</w:t>
      </w:r>
      <w:r w:rsidRPr="00A27E1E">
        <w:tab/>
        <w:t xml:space="preserve">20.0 </w:t>
      </w:r>
      <w:proofErr w:type="spellStart"/>
      <w:r w:rsidRPr="00A27E1E">
        <w:t>metres</w:t>
      </w:r>
      <w:proofErr w:type="spellEnd"/>
      <w:r w:rsidRPr="00A27E1E">
        <w:tab/>
      </w:r>
      <w:r w:rsidRPr="00A27E1E">
        <w:tab/>
        <w:t>--</w:t>
      </w:r>
    </w:p>
    <w:p w14:paraId="2C3C8615" w14:textId="7048EDB0" w:rsidR="00A27E1E" w:rsidRPr="00A27E1E" w:rsidRDefault="00A27E1E" w:rsidP="008F195B">
      <w:pPr>
        <w:tabs>
          <w:tab w:val="left" w:pos="720"/>
          <w:tab w:val="left" w:pos="4320"/>
        </w:tabs>
        <w:overflowPunct w:val="0"/>
        <w:autoSpaceDE w:val="0"/>
        <w:autoSpaceDN w:val="0"/>
        <w:adjustRightInd w:val="0"/>
        <w:spacing w:before="0" w:after="0"/>
        <w:ind w:left="720"/>
        <w:jc w:val="both"/>
        <w:textAlignment w:val="baseline"/>
        <w:rPr>
          <w:bCs/>
        </w:rPr>
      </w:pPr>
      <w:r w:rsidRPr="00A27E1E">
        <w:rPr>
          <w:bCs/>
        </w:rPr>
        <w:t>Major Collector</w:t>
      </w:r>
      <w:r w:rsidRPr="00A27E1E">
        <w:rPr>
          <w:bCs/>
        </w:rPr>
        <w:tab/>
        <w:t xml:space="preserve">26.0 </w:t>
      </w:r>
      <w:proofErr w:type="spellStart"/>
      <w:r w:rsidRPr="00A27E1E">
        <w:rPr>
          <w:bCs/>
        </w:rPr>
        <w:t>metres</w:t>
      </w:r>
      <w:proofErr w:type="spellEnd"/>
      <w:r w:rsidRPr="00A27E1E">
        <w:rPr>
          <w:bCs/>
        </w:rPr>
        <w:t xml:space="preserve"> *</w:t>
      </w:r>
      <w:r w:rsidRPr="00A27E1E">
        <w:rPr>
          <w:bCs/>
        </w:rPr>
        <w:tab/>
      </w:r>
      <w:r w:rsidRPr="00A27E1E">
        <w:rPr>
          <w:bCs/>
        </w:rPr>
        <w:tab/>
        <w:t>--</w:t>
      </w:r>
    </w:p>
    <w:p w14:paraId="28F08E4D" w14:textId="19AC40CA" w:rsidR="00A27E1E" w:rsidRPr="00A27E1E" w:rsidRDefault="00A27E1E" w:rsidP="008F195B">
      <w:pPr>
        <w:tabs>
          <w:tab w:val="left" w:pos="720"/>
          <w:tab w:val="left" w:pos="4320"/>
        </w:tabs>
        <w:overflowPunct w:val="0"/>
        <w:autoSpaceDE w:val="0"/>
        <w:autoSpaceDN w:val="0"/>
        <w:adjustRightInd w:val="0"/>
        <w:spacing w:before="0"/>
        <w:ind w:left="720"/>
        <w:jc w:val="both"/>
        <w:textAlignment w:val="baseline"/>
        <w:rPr>
          <w:bCs/>
        </w:rPr>
      </w:pPr>
      <w:r w:rsidRPr="00A27E1E">
        <w:rPr>
          <w:bCs/>
        </w:rPr>
        <w:t>Arterial</w:t>
      </w:r>
      <w:r w:rsidRPr="00A27E1E">
        <w:rPr>
          <w:bCs/>
        </w:rPr>
        <w:tab/>
        <w:t xml:space="preserve">30.0 </w:t>
      </w:r>
      <w:proofErr w:type="spellStart"/>
      <w:r w:rsidRPr="00A27E1E">
        <w:rPr>
          <w:bCs/>
        </w:rPr>
        <w:t>metres</w:t>
      </w:r>
      <w:proofErr w:type="spellEnd"/>
      <w:r w:rsidRPr="00A27E1E">
        <w:rPr>
          <w:bCs/>
        </w:rPr>
        <w:t xml:space="preserve"> *</w:t>
      </w:r>
      <w:r w:rsidRPr="00A27E1E">
        <w:rPr>
          <w:bCs/>
        </w:rPr>
        <w:tab/>
      </w:r>
      <w:r w:rsidRPr="00A27E1E">
        <w:rPr>
          <w:bCs/>
        </w:rPr>
        <w:tab/>
        <w:t xml:space="preserve">26.0 </w:t>
      </w:r>
      <w:proofErr w:type="spellStart"/>
      <w:r w:rsidRPr="00A27E1E">
        <w:rPr>
          <w:bCs/>
        </w:rPr>
        <w:t>metres</w:t>
      </w:r>
      <w:proofErr w:type="spellEnd"/>
      <w:r w:rsidRPr="00A27E1E">
        <w:rPr>
          <w:bCs/>
        </w:rPr>
        <w:t>*</w:t>
      </w:r>
    </w:p>
    <w:p w14:paraId="2F8FDC11" w14:textId="77777777" w:rsidR="00A27E1E" w:rsidRPr="00A27E1E" w:rsidRDefault="00A27E1E" w:rsidP="00A27E1E">
      <w:pPr>
        <w:overflowPunct w:val="0"/>
        <w:autoSpaceDE w:val="0"/>
        <w:autoSpaceDN w:val="0"/>
        <w:adjustRightInd w:val="0"/>
        <w:ind w:left="360"/>
        <w:jc w:val="both"/>
        <w:textAlignment w:val="baseline"/>
        <w:rPr>
          <w:bCs/>
        </w:rPr>
      </w:pPr>
      <w:r w:rsidRPr="00A27E1E">
        <w:rPr>
          <w:bCs/>
        </w:rPr>
        <w:t>* Additional widths may be required if additional lanes are warranted as a result of a traffic management plan.</w:t>
      </w:r>
      <w:bookmarkStart w:id="0" w:name="_GoBack"/>
      <w:bookmarkEnd w:id="0"/>
    </w:p>
    <w:p w14:paraId="3CFA4594" w14:textId="77777777" w:rsidR="00A27E1E" w:rsidRPr="00A27E1E" w:rsidRDefault="00A27E1E" w:rsidP="00A27E1E">
      <w:pPr>
        <w:overflowPunct w:val="0"/>
        <w:autoSpaceDE w:val="0"/>
        <w:autoSpaceDN w:val="0"/>
        <w:adjustRightInd w:val="0"/>
        <w:spacing w:before="0" w:after="0"/>
        <w:ind w:left="360" w:firstLine="360"/>
        <w:jc w:val="both"/>
        <w:textAlignment w:val="baseline"/>
        <w:rPr>
          <w:b/>
          <w:bCs/>
        </w:rPr>
      </w:pPr>
      <w:r w:rsidRPr="00A27E1E">
        <w:rPr>
          <w:b/>
          <w:bCs/>
        </w:rPr>
        <w:t>Other Corridors</w:t>
      </w:r>
    </w:p>
    <w:p w14:paraId="684C0A97" w14:textId="2AB5F379" w:rsidR="00A27E1E" w:rsidRPr="00A27E1E" w:rsidRDefault="00A27E1E" w:rsidP="008F195B">
      <w:pPr>
        <w:tabs>
          <w:tab w:val="left" w:pos="720"/>
          <w:tab w:val="left" w:pos="3240"/>
        </w:tabs>
        <w:overflowPunct w:val="0"/>
        <w:autoSpaceDE w:val="0"/>
        <w:autoSpaceDN w:val="0"/>
        <w:adjustRightInd w:val="0"/>
        <w:spacing w:before="0" w:after="0"/>
        <w:ind w:left="720"/>
        <w:jc w:val="both"/>
        <w:textAlignment w:val="baseline"/>
        <w:rPr>
          <w:bCs/>
        </w:rPr>
      </w:pPr>
      <w:r w:rsidRPr="00A27E1E">
        <w:rPr>
          <w:bCs/>
        </w:rPr>
        <w:t>Drainage Corridors</w:t>
      </w:r>
      <w:r w:rsidRPr="00A27E1E">
        <w:rPr>
          <w:bCs/>
        </w:rPr>
        <w:tab/>
        <w:t xml:space="preserve">4.5 to 6.0 </w:t>
      </w:r>
      <w:proofErr w:type="spellStart"/>
      <w:r w:rsidRPr="00A27E1E">
        <w:rPr>
          <w:bCs/>
        </w:rPr>
        <w:t>metres</w:t>
      </w:r>
      <w:proofErr w:type="spellEnd"/>
    </w:p>
    <w:p w14:paraId="483F3C2A" w14:textId="4404E757" w:rsidR="00A27E1E" w:rsidRPr="00A27E1E" w:rsidRDefault="00A27E1E" w:rsidP="008F195B">
      <w:pPr>
        <w:tabs>
          <w:tab w:val="left" w:pos="720"/>
          <w:tab w:val="left" w:pos="3240"/>
        </w:tabs>
        <w:overflowPunct w:val="0"/>
        <w:autoSpaceDE w:val="0"/>
        <w:autoSpaceDN w:val="0"/>
        <w:adjustRightInd w:val="0"/>
        <w:spacing w:before="0" w:after="0"/>
        <w:ind w:left="720"/>
        <w:jc w:val="both"/>
        <w:textAlignment w:val="baseline"/>
        <w:rPr>
          <w:bCs/>
        </w:rPr>
      </w:pPr>
      <w:r w:rsidRPr="00A27E1E">
        <w:rPr>
          <w:bCs/>
        </w:rPr>
        <w:t>Utilities Corridors</w:t>
      </w:r>
      <w:r w:rsidRPr="00A27E1E">
        <w:rPr>
          <w:bCs/>
        </w:rPr>
        <w:tab/>
        <w:t xml:space="preserve">4.5 to 6.0 </w:t>
      </w:r>
      <w:proofErr w:type="spellStart"/>
      <w:r w:rsidRPr="00A27E1E">
        <w:rPr>
          <w:bCs/>
        </w:rPr>
        <w:t>metres</w:t>
      </w:r>
      <w:proofErr w:type="spellEnd"/>
    </w:p>
    <w:p w14:paraId="3CF3F405" w14:textId="1E69B0C2" w:rsidR="00A27E1E" w:rsidRPr="00A27E1E" w:rsidRDefault="00A27E1E" w:rsidP="008F195B">
      <w:pPr>
        <w:tabs>
          <w:tab w:val="left" w:pos="720"/>
          <w:tab w:val="left" w:pos="3240"/>
        </w:tabs>
        <w:overflowPunct w:val="0"/>
        <w:autoSpaceDE w:val="0"/>
        <w:autoSpaceDN w:val="0"/>
        <w:adjustRightInd w:val="0"/>
        <w:spacing w:before="0"/>
        <w:ind w:left="720"/>
        <w:jc w:val="both"/>
        <w:textAlignment w:val="baseline"/>
        <w:rPr>
          <w:bCs/>
        </w:rPr>
      </w:pPr>
      <w:r w:rsidRPr="00A27E1E">
        <w:rPr>
          <w:bCs/>
        </w:rPr>
        <w:t>Pathways</w:t>
      </w:r>
      <w:r w:rsidRPr="00A27E1E">
        <w:rPr>
          <w:bCs/>
        </w:rPr>
        <w:tab/>
        <w:t xml:space="preserve">3.0 to 4.5 </w:t>
      </w:r>
      <w:proofErr w:type="spellStart"/>
      <w:r w:rsidRPr="00A27E1E">
        <w:rPr>
          <w:bCs/>
        </w:rPr>
        <w:t>metres</w:t>
      </w:r>
      <w:proofErr w:type="spellEnd"/>
    </w:p>
    <w:p w14:paraId="75E538B5"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Revision History:</w:t>
      </w:r>
    </w:p>
    <w:p w14:paraId="75BD703C" w14:textId="77777777" w:rsidR="00A27E1E" w:rsidRPr="00A27E1E" w:rsidRDefault="00A27E1E" w:rsidP="00A27E1E">
      <w:pPr>
        <w:keepNext/>
        <w:jc w:val="both"/>
        <w:rPr>
          <w:rFonts w:cs="Arial"/>
          <w:bCs/>
        </w:rPr>
      </w:pPr>
      <w:r w:rsidRPr="00A27E1E">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A27E1E" w:rsidRPr="00A27E1E" w14:paraId="0FCFBD8E" w14:textId="77777777" w:rsidTr="009A39D9">
        <w:trPr>
          <w:trHeight w:val="485"/>
        </w:trPr>
        <w:tc>
          <w:tcPr>
            <w:tcW w:w="1217" w:type="dxa"/>
            <w:shd w:val="clear" w:color="auto" w:fill="auto"/>
            <w:vAlign w:val="center"/>
          </w:tcPr>
          <w:p w14:paraId="7F87B0FE" w14:textId="77777777" w:rsidR="00A27E1E" w:rsidRPr="00A27E1E" w:rsidRDefault="00A27E1E" w:rsidP="00A27E1E">
            <w:pPr>
              <w:spacing w:before="0" w:after="0"/>
              <w:jc w:val="center"/>
              <w:rPr>
                <w:rFonts w:cs="Arial"/>
                <w:b/>
                <w:bCs/>
              </w:rPr>
            </w:pPr>
            <w:r w:rsidRPr="00A27E1E">
              <w:rPr>
                <w:rFonts w:cs="Arial"/>
                <w:b/>
                <w:bCs/>
              </w:rPr>
              <w:t>Revision</w:t>
            </w:r>
          </w:p>
        </w:tc>
        <w:tc>
          <w:tcPr>
            <w:tcW w:w="970" w:type="dxa"/>
            <w:shd w:val="clear" w:color="auto" w:fill="auto"/>
            <w:vAlign w:val="center"/>
          </w:tcPr>
          <w:p w14:paraId="139E0294" w14:textId="77777777" w:rsidR="00A27E1E" w:rsidRPr="00A27E1E" w:rsidRDefault="00A27E1E" w:rsidP="00A27E1E">
            <w:pPr>
              <w:spacing w:before="0" w:after="0"/>
              <w:jc w:val="center"/>
              <w:rPr>
                <w:rFonts w:cs="Arial"/>
                <w:b/>
                <w:bCs/>
              </w:rPr>
            </w:pPr>
            <w:r w:rsidRPr="00A27E1E">
              <w:rPr>
                <w:rFonts w:cs="Arial"/>
                <w:b/>
                <w:bCs/>
              </w:rPr>
              <w:t>Date</w:t>
            </w:r>
          </w:p>
        </w:tc>
        <w:tc>
          <w:tcPr>
            <w:tcW w:w="3933" w:type="dxa"/>
            <w:shd w:val="clear" w:color="auto" w:fill="auto"/>
            <w:vAlign w:val="center"/>
          </w:tcPr>
          <w:p w14:paraId="2FD59673" w14:textId="5209CA47" w:rsidR="00A27E1E" w:rsidRPr="00A27E1E" w:rsidRDefault="00A27E1E" w:rsidP="00A27E1E">
            <w:pPr>
              <w:spacing w:before="0" w:after="0"/>
              <w:jc w:val="center"/>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2FF97379" w14:textId="77777777" w:rsidR="00A27E1E" w:rsidRPr="00A27E1E" w:rsidRDefault="00A27E1E" w:rsidP="00A27E1E">
            <w:pPr>
              <w:spacing w:before="0" w:after="0"/>
              <w:jc w:val="center"/>
              <w:rPr>
                <w:rFonts w:cs="Arial"/>
                <w:b/>
                <w:bCs/>
              </w:rPr>
            </w:pPr>
            <w:r w:rsidRPr="00A27E1E">
              <w:rPr>
                <w:rFonts w:cs="Arial"/>
                <w:b/>
                <w:bCs/>
              </w:rPr>
              <w:t>Requested By</w:t>
            </w:r>
          </w:p>
        </w:tc>
      </w:tr>
      <w:tr w:rsidR="00A27E1E" w:rsidRPr="00A27E1E" w14:paraId="7A72D069" w14:textId="77777777" w:rsidTr="009A39D9">
        <w:trPr>
          <w:trHeight w:val="432"/>
        </w:trPr>
        <w:tc>
          <w:tcPr>
            <w:tcW w:w="1217" w:type="dxa"/>
            <w:vAlign w:val="center"/>
          </w:tcPr>
          <w:p w14:paraId="2FA7A6D6" w14:textId="77777777" w:rsidR="00A27E1E" w:rsidRPr="00A27E1E" w:rsidRDefault="00A27E1E" w:rsidP="00A27E1E">
            <w:pPr>
              <w:spacing w:before="0" w:after="0"/>
              <w:rPr>
                <w:rFonts w:cs="Arial"/>
              </w:rPr>
            </w:pPr>
            <w:r w:rsidRPr="00A27E1E">
              <w:rPr>
                <w:rFonts w:cs="Arial"/>
              </w:rPr>
              <w:t>0.0</w:t>
            </w:r>
          </w:p>
        </w:tc>
        <w:tc>
          <w:tcPr>
            <w:tcW w:w="970" w:type="dxa"/>
            <w:vAlign w:val="center"/>
          </w:tcPr>
          <w:p w14:paraId="4DB826B3" w14:textId="77777777" w:rsidR="00A27E1E" w:rsidRPr="00A27E1E" w:rsidRDefault="00A27E1E" w:rsidP="00A27E1E">
            <w:pPr>
              <w:spacing w:before="0" w:after="0"/>
              <w:rPr>
                <w:rFonts w:cs="Arial"/>
              </w:rPr>
            </w:pPr>
            <w:r w:rsidRPr="00A27E1E">
              <w:rPr>
                <w:rFonts w:cs="Arial"/>
              </w:rPr>
              <w:t>May 10, 2005</w:t>
            </w:r>
          </w:p>
        </w:tc>
        <w:tc>
          <w:tcPr>
            <w:tcW w:w="3933" w:type="dxa"/>
            <w:vAlign w:val="center"/>
          </w:tcPr>
          <w:p w14:paraId="2CB17B64" w14:textId="77777777" w:rsidR="00A27E1E" w:rsidRPr="00A27E1E" w:rsidRDefault="00A27E1E" w:rsidP="00A27E1E">
            <w:pPr>
              <w:spacing w:before="0" w:after="0"/>
              <w:rPr>
                <w:rFonts w:cs="Arial"/>
              </w:rPr>
            </w:pPr>
            <w:r w:rsidRPr="00A27E1E">
              <w:rPr>
                <w:rFonts w:cs="Arial"/>
              </w:rPr>
              <w:t>Initial Release as 115 EPW 008</w:t>
            </w:r>
          </w:p>
        </w:tc>
        <w:tc>
          <w:tcPr>
            <w:tcW w:w="2160" w:type="dxa"/>
            <w:vAlign w:val="center"/>
          </w:tcPr>
          <w:p w14:paraId="2FD7876B" w14:textId="77777777" w:rsidR="00A27E1E" w:rsidRPr="00A27E1E" w:rsidRDefault="00A27E1E" w:rsidP="00A27E1E">
            <w:pPr>
              <w:spacing w:before="0" w:after="0"/>
              <w:rPr>
                <w:rFonts w:cs="Arial"/>
              </w:rPr>
            </w:pPr>
            <w:r w:rsidRPr="00A27E1E">
              <w:rPr>
                <w:rFonts w:cs="Arial"/>
              </w:rPr>
              <w:t xml:space="preserve">Kenneth </w:t>
            </w:r>
            <w:proofErr w:type="spellStart"/>
            <w:r w:rsidRPr="00A27E1E">
              <w:rPr>
                <w:rFonts w:cs="Arial"/>
              </w:rPr>
              <w:t>Becking</w:t>
            </w:r>
            <w:proofErr w:type="spellEnd"/>
          </w:p>
        </w:tc>
      </w:tr>
      <w:tr w:rsidR="00A27E1E" w:rsidRPr="00A27E1E" w14:paraId="5723CE5B" w14:textId="77777777" w:rsidTr="009A39D9">
        <w:trPr>
          <w:trHeight w:val="432"/>
        </w:trPr>
        <w:tc>
          <w:tcPr>
            <w:tcW w:w="1217" w:type="dxa"/>
            <w:vAlign w:val="center"/>
          </w:tcPr>
          <w:p w14:paraId="21B2435C" w14:textId="77777777" w:rsidR="00A27E1E" w:rsidRPr="00A27E1E" w:rsidRDefault="00A27E1E" w:rsidP="00A27E1E">
            <w:pPr>
              <w:spacing w:before="0" w:after="0"/>
              <w:rPr>
                <w:rFonts w:cs="Arial"/>
              </w:rPr>
            </w:pPr>
            <w:r w:rsidRPr="00A27E1E">
              <w:rPr>
                <w:rFonts w:cs="Arial"/>
              </w:rPr>
              <w:t>1.0</w:t>
            </w:r>
          </w:p>
        </w:tc>
        <w:tc>
          <w:tcPr>
            <w:tcW w:w="970" w:type="dxa"/>
            <w:vAlign w:val="center"/>
          </w:tcPr>
          <w:p w14:paraId="4ECED399" w14:textId="77777777" w:rsidR="00A27E1E" w:rsidRPr="00A27E1E" w:rsidRDefault="00A27E1E" w:rsidP="00A27E1E">
            <w:pPr>
              <w:spacing w:before="0" w:after="0"/>
              <w:rPr>
                <w:rFonts w:cs="Arial"/>
              </w:rPr>
            </w:pPr>
            <w:r w:rsidRPr="00A27E1E">
              <w:rPr>
                <w:rFonts w:cs="Arial"/>
              </w:rPr>
              <w:t>July 17, 2018</w:t>
            </w:r>
          </w:p>
        </w:tc>
        <w:tc>
          <w:tcPr>
            <w:tcW w:w="3933" w:type="dxa"/>
            <w:vAlign w:val="center"/>
          </w:tcPr>
          <w:p w14:paraId="6F9870BE" w14:textId="77777777" w:rsidR="00A27E1E" w:rsidRPr="00A27E1E" w:rsidRDefault="00A27E1E" w:rsidP="00A27E1E">
            <w:pPr>
              <w:spacing w:before="0" w:after="0"/>
              <w:rPr>
                <w:rFonts w:cs="Arial"/>
              </w:rPr>
            </w:pPr>
            <w:r w:rsidRPr="00A27E1E">
              <w:rPr>
                <w:rFonts w:cs="Arial"/>
              </w:rPr>
              <w:t>Renumbered as per new Policy System</w:t>
            </w:r>
          </w:p>
        </w:tc>
        <w:tc>
          <w:tcPr>
            <w:tcW w:w="2160" w:type="dxa"/>
            <w:vAlign w:val="center"/>
          </w:tcPr>
          <w:p w14:paraId="462A12E6" w14:textId="77777777" w:rsidR="00A27E1E" w:rsidRPr="00A27E1E" w:rsidRDefault="00A27E1E" w:rsidP="00A27E1E">
            <w:pPr>
              <w:spacing w:before="0" w:after="0"/>
              <w:rPr>
                <w:rFonts w:cs="Arial"/>
              </w:rPr>
            </w:pPr>
            <w:r w:rsidRPr="00A27E1E">
              <w:rPr>
                <w:rFonts w:cs="Arial"/>
              </w:rPr>
              <w:t>Juan Rojas</w:t>
            </w:r>
          </w:p>
        </w:tc>
      </w:tr>
      <w:tr w:rsidR="001C302E" w:rsidRPr="00A27E1E" w14:paraId="26BCE7E8" w14:textId="77777777" w:rsidTr="009A39D9">
        <w:trPr>
          <w:trHeight w:val="432"/>
        </w:trPr>
        <w:tc>
          <w:tcPr>
            <w:tcW w:w="1217" w:type="dxa"/>
            <w:vAlign w:val="center"/>
          </w:tcPr>
          <w:p w14:paraId="6CF937CB" w14:textId="61890745" w:rsidR="001C302E" w:rsidRPr="00A27E1E" w:rsidRDefault="001C302E" w:rsidP="00A27E1E">
            <w:pPr>
              <w:spacing w:before="0" w:after="0"/>
              <w:rPr>
                <w:rFonts w:cs="Arial"/>
              </w:rPr>
            </w:pPr>
            <w:r>
              <w:rPr>
                <w:rFonts w:cs="Arial"/>
              </w:rPr>
              <w:t>2.0</w:t>
            </w:r>
          </w:p>
        </w:tc>
        <w:tc>
          <w:tcPr>
            <w:tcW w:w="970" w:type="dxa"/>
            <w:vAlign w:val="center"/>
          </w:tcPr>
          <w:p w14:paraId="2FDE5DF5" w14:textId="561DFAE5" w:rsidR="001C302E" w:rsidRPr="00A27E1E" w:rsidRDefault="001C302E" w:rsidP="00A27E1E">
            <w:pPr>
              <w:spacing w:before="0" w:after="0"/>
              <w:rPr>
                <w:rFonts w:cs="Arial"/>
              </w:rPr>
            </w:pPr>
            <w:r>
              <w:rPr>
                <w:rFonts w:cs="Arial"/>
              </w:rPr>
              <w:t>April 20, 2021</w:t>
            </w:r>
          </w:p>
        </w:tc>
        <w:tc>
          <w:tcPr>
            <w:tcW w:w="3933" w:type="dxa"/>
            <w:vAlign w:val="center"/>
          </w:tcPr>
          <w:p w14:paraId="00C7598C" w14:textId="51161ADD" w:rsidR="001C302E" w:rsidRPr="00A27E1E" w:rsidRDefault="001C302E" w:rsidP="00A27E1E">
            <w:pPr>
              <w:spacing w:before="0" w:after="0"/>
              <w:rPr>
                <w:rFonts w:cs="Arial"/>
              </w:rPr>
            </w:pPr>
            <w:r>
              <w:rPr>
                <w:rFonts w:cs="Arial"/>
              </w:rPr>
              <w:t>Policy Number Updated</w:t>
            </w:r>
          </w:p>
        </w:tc>
        <w:tc>
          <w:tcPr>
            <w:tcW w:w="2160" w:type="dxa"/>
            <w:vAlign w:val="center"/>
          </w:tcPr>
          <w:p w14:paraId="7AC305A8" w14:textId="22B43B30" w:rsidR="001C302E" w:rsidRPr="00A27E1E" w:rsidRDefault="001C302E" w:rsidP="00A27E1E">
            <w:pPr>
              <w:spacing w:before="0" w:after="0"/>
              <w:rPr>
                <w:rFonts w:cs="Arial"/>
              </w:rPr>
            </w:pPr>
            <w:r>
              <w:rPr>
                <w:rFonts w:cs="Arial"/>
              </w:rPr>
              <w:t>Council</w:t>
            </w:r>
          </w:p>
        </w:tc>
      </w:tr>
    </w:tbl>
    <w:p w14:paraId="5990887B" w14:textId="7F3014DC" w:rsidR="00467795" w:rsidRDefault="00467795" w:rsidP="00A27E1E"/>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C5165E1" w:rsidR="00226B10" w:rsidRPr="00F95061" w:rsidRDefault="001C302E" w:rsidP="005163E2">
            <w:pPr>
              <w:pStyle w:val="Footer"/>
              <w:jc w:val="right"/>
              <w:rPr>
                <w:rFonts w:cs="Arial"/>
                <w:sz w:val="20"/>
                <w:szCs w:val="20"/>
              </w:rPr>
            </w:pPr>
            <w:r>
              <w:rPr>
                <w:rFonts w:cs="Arial"/>
                <w:sz w:val="20"/>
                <w:szCs w:val="20"/>
              </w:rPr>
              <w:t>CP2021-004</w:t>
            </w:r>
            <w:r w:rsidR="00A27E1E">
              <w:rPr>
                <w:rFonts w:cs="Arial"/>
                <w:sz w:val="20"/>
                <w:szCs w:val="20"/>
              </w:rPr>
              <w:t xml:space="preserve"> Right of Way Widths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8F195B">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8F195B">
              <w:rPr>
                <w:rFonts w:cs="Arial"/>
                <w:bCs/>
                <w:noProof/>
                <w:sz w:val="20"/>
                <w:szCs w:val="20"/>
              </w:rPr>
              <w:t>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91052F9"/>
    <w:multiLevelType w:val="multilevel"/>
    <w:tmpl w:val="C100D022"/>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34238"/>
    <w:multiLevelType w:val="multilevel"/>
    <w:tmpl w:val="E06C417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E83A23"/>
    <w:multiLevelType w:val="multilevel"/>
    <w:tmpl w:val="33547526"/>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7DC7556"/>
    <w:multiLevelType w:val="hybridMultilevel"/>
    <w:tmpl w:val="492437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8A9051E"/>
    <w:multiLevelType w:val="multilevel"/>
    <w:tmpl w:val="DA5A4878"/>
    <w:lvl w:ilvl="0">
      <w:start w:val="4"/>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423403A1"/>
    <w:multiLevelType w:val="multilevel"/>
    <w:tmpl w:val="C670467A"/>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73753D"/>
    <w:multiLevelType w:val="hybridMultilevel"/>
    <w:tmpl w:val="0BC29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0C5457"/>
    <w:multiLevelType w:val="multilevel"/>
    <w:tmpl w:val="82BA7940"/>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lang w:val="en-C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7"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0E05D65"/>
    <w:multiLevelType w:val="hybridMultilevel"/>
    <w:tmpl w:val="86ACE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0" w15:restartNumberingAfterBreak="0">
    <w:nsid w:val="58800178"/>
    <w:multiLevelType w:val="hybridMultilevel"/>
    <w:tmpl w:val="BAC23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2"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A1A3C08"/>
    <w:multiLevelType w:val="multilevel"/>
    <w:tmpl w:val="55A4E250"/>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1"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6"/>
  </w:num>
  <w:num w:numId="3">
    <w:abstractNumId w:val="31"/>
  </w:num>
  <w:num w:numId="4">
    <w:abstractNumId w:val="10"/>
  </w:num>
  <w:num w:numId="5">
    <w:abstractNumId w:val="8"/>
  </w:num>
  <w:num w:numId="6">
    <w:abstractNumId w:val="22"/>
  </w:num>
  <w:num w:numId="7">
    <w:abstractNumId w:val="12"/>
  </w:num>
  <w:num w:numId="8">
    <w:abstractNumId w:val="28"/>
  </w:num>
  <w:num w:numId="9">
    <w:abstractNumId w:val="25"/>
  </w:num>
  <w:num w:numId="10">
    <w:abstractNumId w:val="17"/>
  </w:num>
  <w:num w:numId="11">
    <w:abstractNumId w:val="30"/>
  </w:num>
  <w:num w:numId="12">
    <w:abstractNumId w:val="9"/>
  </w:num>
  <w:num w:numId="13">
    <w:abstractNumId w:val="16"/>
  </w:num>
  <w:num w:numId="14">
    <w:abstractNumId w:val="23"/>
  </w:num>
  <w:num w:numId="15">
    <w:abstractNumId w:val="21"/>
  </w:num>
  <w:num w:numId="16">
    <w:abstractNumId w:val="2"/>
  </w:num>
  <w:num w:numId="17">
    <w:abstractNumId w:val="0"/>
  </w:num>
  <w:num w:numId="18">
    <w:abstractNumId w:val="6"/>
  </w:num>
  <w:num w:numId="19">
    <w:abstractNumId w:val="24"/>
  </w:num>
  <w:num w:numId="20">
    <w:abstractNumId w:val="29"/>
  </w:num>
  <w:num w:numId="21">
    <w:abstractNumId w:val="19"/>
  </w:num>
  <w:num w:numId="22">
    <w:abstractNumId w:val="14"/>
  </w:num>
  <w:num w:numId="23">
    <w:abstractNumId w:val="18"/>
  </w:num>
  <w:num w:numId="24">
    <w:abstractNumId w:val="20"/>
  </w:num>
  <w:num w:numId="25">
    <w:abstractNumId w:val="11"/>
  </w:num>
  <w:num w:numId="26">
    <w:abstractNumId w:val="13"/>
  </w:num>
  <w:num w:numId="27">
    <w:abstractNumId w:val="1"/>
  </w:num>
  <w:num w:numId="28">
    <w:abstractNumId w:val="27"/>
  </w:num>
  <w:num w:numId="29">
    <w:abstractNumId w:val="4"/>
  </w:num>
  <w:num w:numId="30">
    <w:abstractNumId w:val="15"/>
  </w:num>
  <w:num w:numId="31">
    <w:abstractNumId w:val="7"/>
  </w:num>
  <w:num w:numId="32">
    <w:abstractNumId w:val="32"/>
  </w:num>
  <w:num w:numId="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1A28BD"/>
    <w:rsid w:val="001C302E"/>
    <w:rsid w:val="00226B10"/>
    <w:rsid w:val="00241648"/>
    <w:rsid w:val="00242873"/>
    <w:rsid w:val="002A4BEF"/>
    <w:rsid w:val="002D5163"/>
    <w:rsid w:val="00330DB8"/>
    <w:rsid w:val="00331815"/>
    <w:rsid w:val="00360EC6"/>
    <w:rsid w:val="003B3C67"/>
    <w:rsid w:val="003E69C2"/>
    <w:rsid w:val="004168AA"/>
    <w:rsid w:val="00425202"/>
    <w:rsid w:val="0046540A"/>
    <w:rsid w:val="00467795"/>
    <w:rsid w:val="004A377A"/>
    <w:rsid w:val="004B297F"/>
    <w:rsid w:val="004B540D"/>
    <w:rsid w:val="004D54B4"/>
    <w:rsid w:val="005163E2"/>
    <w:rsid w:val="00640B82"/>
    <w:rsid w:val="006470BE"/>
    <w:rsid w:val="00660BC1"/>
    <w:rsid w:val="006C50B4"/>
    <w:rsid w:val="006C6658"/>
    <w:rsid w:val="006E31BC"/>
    <w:rsid w:val="00720079"/>
    <w:rsid w:val="0073221C"/>
    <w:rsid w:val="007A4E37"/>
    <w:rsid w:val="007F67E1"/>
    <w:rsid w:val="00875664"/>
    <w:rsid w:val="008B5228"/>
    <w:rsid w:val="008C1F5B"/>
    <w:rsid w:val="008E5E29"/>
    <w:rsid w:val="008F195B"/>
    <w:rsid w:val="0090099E"/>
    <w:rsid w:val="00945DB9"/>
    <w:rsid w:val="009D3584"/>
    <w:rsid w:val="009E7C86"/>
    <w:rsid w:val="00A07FCF"/>
    <w:rsid w:val="00A136DA"/>
    <w:rsid w:val="00A27E1E"/>
    <w:rsid w:val="00A370D0"/>
    <w:rsid w:val="00AC4A09"/>
    <w:rsid w:val="00B12CB8"/>
    <w:rsid w:val="00B5071F"/>
    <w:rsid w:val="00B614C0"/>
    <w:rsid w:val="00C06DED"/>
    <w:rsid w:val="00C32860"/>
    <w:rsid w:val="00C74F14"/>
    <w:rsid w:val="00D171CE"/>
    <w:rsid w:val="00D21202"/>
    <w:rsid w:val="00D744ED"/>
    <w:rsid w:val="00DC04AB"/>
    <w:rsid w:val="00DC2655"/>
    <w:rsid w:val="00DF1735"/>
    <w:rsid w:val="00E079A5"/>
    <w:rsid w:val="00EC2875"/>
    <w:rsid w:val="00EC2B18"/>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2018-07-17T04:00:00+00:00</Effective_x0020_Date>
    <_dlc_DocId xmlns="2026e193-403e-49b0-84d7-399809578d26">PYP3NSX4DFEQ-18-35</_dlc_DocId>
    <_dlc_DocIdUrl xmlns="2026e193-403e-49b0-84d7-399809578d26">
      <Url>https://documents.city.kawarthalakes.on.ca/sites/CorpDocs/_layouts/15/DocIdRedir.aspx?ID=PYP3NSX4DFEQ-18-35</Url>
      <Description>PYP3NSX4DFEQ-18-35</Description>
    </_dlc_DocIdUrl>
    <Policy_x0020_Number xmlns="9a81a57e-1799-4259-a456-052d3d590a00">CP2021-004</Policy_x0020_Number>
    <Related_x0020_Procedure xmlns="9a81a57e-1799-4259-a456-052d3d590a00" xsi:nil="true"/>
    <Approval_x0020_Date xmlns="9a81a57e-1799-4259-a456-052d3d590a00">2018-07-17T04:00:00+00:00</Approval_x0020_Date>
    <Related_x0020_Policy xmlns="9a81a57e-1799-4259-a456-052d3d590a00">Replaces 115 EPW 008</Related_x0020_Policy>
    <Policy_x0020_Name xmlns="9a81a57e-1799-4259-a456-052d3d590a00">Right of Way Widths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31DE0-F674-4268-B593-F20A22F5AE93}">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schemas.openxmlformats.org/package/2006/metadata/core-properties"/>
    <ds:schemaRef ds:uri="http://purl.org/dc/dcmitype/"/>
    <ds:schemaRef ds:uri="http://schemas.microsoft.com/office/infopath/2007/PartnerControls"/>
    <ds:schemaRef ds:uri="2026e193-403e-49b0-84d7-399809578d26"/>
    <ds:schemaRef ds:uri="http://purl.org/dc/elements/1.1/"/>
    <ds:schemaRef ds:uri="http://schemas.microsoft.com/office/2006/documentManagement/types"/>
    <ds:schemaRef ds:uri="9a81a57e-1799-4259-a456-052d3d590a00"/>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C9000901-756E-48CD-950C-FEC9CFC2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3</cp:revision>
  <dcterms:created xsi:type="dcterms:W3CDTF">2021-06-04T16:11:00Z</dcterms:created>
  <dcterms:modified xsi:type="dcterms:W3CDTF">2021-08-26T18:47:00Z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ce2e3d0d-5a96-47f4-8539-eac8ad33646b</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ies>
</file>